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40" w:rsidRDefault="00D41C40" w:rsidP="00E05388">
      <w:pPr>
        <w:pStyle w:val="A-BH"/>
      </w:pPr>
      <w:r w:rsidRPr="00D41C40">
        <w:t>Gifts of the Spirit</w:t>
      </w:r>
    </w:p>
    <w:p w:rsidR="00E05388" w:rsidRDefault="00E05388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StoneSans-Semibold"/>
          <w:b/>
          <w:color w:val="000000"/>
          <w:szCs w:val="24"/>
        </w:rPr>
      </w:pPr>
    </w:p>
    <w:p w:rsidR="00E05388" w:rsidRDefault="00C812A8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StoneSans-Semibold"/>
          <w:b/>
          <w:color w:val="000000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.05pt;margin-top:.4pt;width:189pt;height:20.5pt;z-index:251658240;mso-width-percent:400;mso-height-percent:200;mso-width-percent:400;mso-height-percent:200;mso-width-relative:margin;mso-height-relative:margin" filled="f" stroked="f">
            <v:textbox style="mso-next-textbox:#_x0000_s1026;mso-fit-shape-to-text:t">
              <w:txbxContent>
                <w:p w:rsidR="00E05388" w:rsidRDefault="00E05388" w:rsidP="00E05388">
                  <w:r>
                    <w:sym w:font="Wingdings" w:char="F023"/>
                  </w:r>
                </w:p>
              </w:txbxContent>
            </v:textbox>
          </v:shape>
        </w:pict>
      </w:r>
    </w:p>
    <w:p w:rsidR="00E05388" w:rsidRDefault="00E05388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StoneSans"/>
          <w:b/>
          <w:color w:val="000000"/>
          <w:szCs w:val="24"/>
        </w:rPr>
        <w:sectPr w:rsidR="00E05388" w:rsidSect="00FA529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186"/>
        <w:gridCol w:w="4480"/>
      </w:tblGrid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lastRenderedPageBreak/>
              <w:t>wisdom (Ephesians 1:17–19)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wisdom (Ephesians 1:17–19)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understanding (John 16:13)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understanding (John 16:13)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right judgment (1 Thessaloni</w:t>
            </w:r>
            <w:bookmarkStart w:id="0" w:name="_GoBack"/>
            <w:bookmarkEnd w:id="0"/>
            <w:r w:rsidRPr="00E05388">
              <w:t>ans 5:19–22)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right judgment (1 Thessalonians 5:19–22)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courage (Joshua 1:9)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courage (Joshua 1:9)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knowledge (Ephesians 3:18–19)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knowledge (Ephesians 3:18–19)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reverence (Romans 8:14–16)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reverence (Romans 8:14–16)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8A6620">
            <w:pPr>
              <w:pStyle w:val="A-Text"/>
            </w:pPr>
            <w:r w:rsidRPr="00E05388">
              <w:t>wonder and awe (Psalm 33:8–9)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wonder and awe (Psalm 33:8–9)</w:t>
            </w:r>
          </w:p>
        </w:tc>
      </w:tr>
    </w:tbl>
    <w:p w:rsidR="00E05388" w:rsidRDefault="00C812A8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ITC Stone Sans Medium"/>
          <w:color w:val="000000"/>
          <w:szCs w:val="24"/>
        </w:rPr>
        <w:sectPr w:rsidR="00E05388" w:rsidSect="00E05388">
          <w:type w:val="continuous"/>
          <w:pgSz w:w="12240" w:h="15840"/>
          <w:pgMar w:top="900" w:right="1350" w:bottom="1980" w:left="1440" w:header="720" w:footer="720" w:gutter="0"/>
          <w:cols w:sep="1" w:space="720"/>
          <w:titlePg/>
          <w:docGrid w:linePitch="360"/>
        </w:sectPr>
      </w:pPr>
      <w:r>
        <w:rPr>
          <w:noProof/>
        </w:rPr>
        <w:pict>
          <v:shape id="_x0000_s1028" type="#_x0000_t202" style="position:absolute;margin-left:-22.5pt;margin-top:13.05pt;width:198.05pt;height:20.5pt;z-index:251659264;mso-height-percent:200;mso-position-horizontal-relative:text;mso-position-vertical-relative:text;mso-height-percent:200;mso-width-relative:margin;mso-height-relative:margin" filled="f" stroked="f">
            <v:textbox style="mso-next-textbox:#_x0000_s1028;mso-fit-shape-to-text:t">
              <w:txbxContent>
                <w:p w:rsidR="00C812A8" w:rsidRDefault="00C812A8" w:rsidP="00C812A8">
                  <w:r>
                    <w:sym w:font="Wingdings" w:char="F023"/>
                  </w:r>
                </w:p>
              </w:txbxContent>
            </v:textbox>
          </v:shape>
        </w:pict>
      </w:r>
    </w:p>
    <w:p w:rsidR="00D41C40" w:rsidRPr="00D41C40" w:rsidRDefault="00D41C40" w:rsidP="00E05388">
      <w:pPr>
        <w:tabs>
          <w:tab w:val="left" w:pos="440"/>
          <w:tab w:val="left" w:pos="880"/>
        </w:tabs>
        <w:autoSpaceDE w:val="0"/>
        <w:autoSpaceDN w:val="0"/>
        <w:adjustRightInd w:val="0"/>
        <w:spacing w:after="240" w:line="260" w:lineRule="atLeast"/>
        <w:textAlignment w:val="center"/>
        <w:rPr>
          <w:rFonts w:ascii="Book Antiqua" w:hAnsi="Book Antiqua" w:cs="ITC Stone Sans Medium"/>
          <w:color w:val="000000"/>
          <w:szCs w:val="24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186"/>
        <w:gridCol w:w="4480"/>
      </w:tblGrid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wisdom (Ephesians 1:17–19)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wisdom (Ephesians 1:17–19)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understanding (John 16:13)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understanding (John 16:13)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right judgment (1 Thessalonians 5:19–22)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right judgment (1 Thessalonians 5:19–22)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courage (Joshua 1:9)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courage (Joshua 1:9)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knowledge (Ephesians 3:18–19)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knowledge (Ephesians 3:18–19)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reverence (Romans 8:14–16)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reverence (Romans 8:14–16)</w:t>
            </w:r>
          </w:p>
        </w:tc>
      </w:tr>
      <w:tr w:rsidR="00E05388" w:rsidRPr="00E05388" w:rsidTr="00C812A8">
        <w:tc>
          <w:tcPr>
            <w:tcW w:w="5186" w:type="dxa"/>
          </w:tcPr>
          <w:p w:rsidR="00E05388" w:rsidRPr="00E05388" w:rsidRDefault="00E05388" w:rsidP="00612A54">
            <w:pPr>
              <w:pStyle w:val="A-Text"/>
            </w:pPr>
            <w:r w:rsidRPr="00E05388">
              <w:t>wonder and awe (Psalm 33:8–9)</w:t>
            </w:r>
          </w:p>
        </w:tc>
        <w:tc>
          <w:tcPr>
            <w:tcW w:w="4480" w:type="dxa"/>
          </w:tcPr>
          <w:p w:rsidR="00E05388" w:rsidRPr="00E05388" w:rsidRDefault="00E05388" w:rsidP="00612A54">
            <w:pPr>
              <w:pStyle w:val="A-Text"/>
            </w:pPr>
            <w:r w:rsidRPr="00E05388">
              <w:t>wonder and awe (Psalm 33:8–9)</w:t>
            </w:r>
          </w:p>
        </w:tc>
      </w:tr>
    </w:tbl>
    <w:p w:rsidR="00D41C40" w:rsidRPr="00D41C40" w:rsidRDefault="00D41C40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ITC Stone Sans Medium"/>
          <w:color w:val="000000"/>
          <w:szCs w:val="24"/>
        </w:rPr>
      </w:pPr>
    </w:p>
    <w:p w:rsidR="00D41C40" w:rsidRPr="00D41C40" w:rsidRDefault="00D41C40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260" w:lineRule="atLeast"/>
        <w:textAlignment w:val="center"/>
        <w:rPr>
          <w:rFonts w:ascii="Book Antiqua" w:hAnsi="Book Antiqua" w:cs="ITC Stone Sans Medium"/>
          <w:color w:val="000000"/>
          <w:szCs w:val="24"/>
        </w:rPr>
      </w:pPr>
    </w:p>
    <w:p w:rsidR="00D41C40" w:rsidRPr="00D41C40" w:rsidRDefault="00D41C40" w:rsidP="00D41C40">
      <w:pPr>
        <w:tabs>
          <w:tab w:val="left" w:pos="440"/>
          <w:tab w:val="left" w:pos="880"/>
        </w:tabs>
        <w:autoSpaceDE w:val="0"/>
        <w:autoSpaceDN w:val="0"/>
        <w:adjustRightInd w:val="0"/>
        <w:spacing w:line="520" w:lineRule="atLeast"/>
        <w:textAlignment w:val="center"/>
        <w:rPr>
          <w:rFonts w:ascii="Book Antiqua" w:hAnsi="Book Antiqua" w:cs="StoneSerif"/>
          <w:color w:val="000000"/>
          <w:szCs w:val="24"/>
        </w:rPr>
      </w:pPr>
    </w:p>
    <w:p w:rsidR="00D41C40" w:rsidRPr="00D41C40" w:rsidRDefault="00D41C40" w:rsidP="00E05388">
      <w:pPr>
        <w:pStyle w:val="A-Permissionstatement"/>
        <w:jc w:val="left"/>
      </w:pPr>
      <w:r w:rsidRPr="00D41C40">
        <w:t xml:space="preserve">(This </w:t>
      </w:r>
      <w:r w:rsidR="001515FF">
        <w:t>handout</w:t>
      </w:r>
      <w:r w:rsidR="001515FF" w:rsidRPr="00D41C40">
        <w:t xml:space="preserve"> </w:t>
      </w:r>
      <w:r w:rsidRPr="00D41C40">
        <w:t xml:space="preserve">is adapted from </w:t>
      </w:r>
      <w:r w:rsidR="00260682" w:rsidRPr="00D41C40">
        <w:rPr>
          <w:rFonts w:cs="StoneSans-Italic"/>
          <w:i/>
          <w:iCs/>
        </w:rPr>
        <w:t>Catechetical Sessions on the Creed,</w:t>
      </w:r>
      <w:r w:rsidR="00260682" w:rsidRPr="00D41C40">
        <w:t xml:space="preserve"> </w:t>
      </w:r>
      <w:r w:rsidR="00260682">
        <w:t xml:space="preserve">by </w:t>
      </w:r>
      <w:r w:rsidRPr="00D41C40">
        <w:t>Maura Thompson Hagarty, Michael J. Hagarty, Marilyn Kielbasa, and Barbara Murray, in the Total Catechesis series [Winona, MN: Saint Mary’s Press, 2004]. Copyright © 2004 by Saint Mary’s Press. All rights reserved.)</w:t>
      </w:r>
    </w:p>
    <w:p w:rsidR="004C491E" w:rsidRPr="00D41C40" w:rsidRDefault="004C491E" w:rsidP="00B26C94">
      <w:pPr>
        <w:spacing w:after="200" w:line="276" w:lineRule="auto"/>
        <w:rPr>
          <w:rFonts w:ascii="Book Antiqua" w:hAnsi="Book Antiqua"/>
          <w:szCs w:val="24"/>
        </w:rPr>
      </w:pPr>
    </w:p>
    <w:sectPr w:rsidR="004C491E" w:rsidRPr="00D41C40" w:rsidSect="00E05388">
      <w:type w:val="continuous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08" w:rsidRDefault="009A3D08" w:rsidP="004D0079">
      <w:r>
        <w:separator/>
      </w:r>
    </w:p>
  </w:endnote>
  <w:endnote w:type="continuationSeparator" w:id="0">
    <w:p w:rsidR="009A3D08" w:rsidRDefault="009A3D0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Stone Sans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Pr="00F82D2A" w:rsidRDefault="00C812A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1515FF" w:rsidRDefault="001515FF" w:rsidP="001515F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515FF" w:rsidRPr="001515FF" w:rsidRDefault="001515FF" w:rsidP="001515F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X003186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C812A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Cb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1515FF" w:rsidRDefault="00F05C5F" w:rsidP="001515F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1515FF">
                  <w:t>3186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08" w:rsidRDefault="009A3D08" w:rsidP="004D0079">
      <w:r>
        <w:separator/>
      </w:r>
    </w:p>
  </w:footnote>
  <w:footnote w:type="continuationSeparator" w:id="0">
    <w:p w:rsidR="009A3D08" w:rsidRDefault="009A3D0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D41C40" w:rsidP="001379AD">
    <w:pPr>
      <w:pStyle w:val="A-Header-articletitlepage2"/>
    </w:pPr>
    <w:r>
      <w:t>Gifts of the Spirit</w:t>
    </w:r>
    <w:r w:rsidR="00B26C94">
      <w:tab/>
      <w:t xml:space="preserve">Page | </w:t>
    </w:r>
    <w:r w:rsidR="003F49EB">
      <w:fldChar w:fldCharType="begin"/>
    </w:r>
    <w:r w:rsidR="00B26C94">
      <w:instrText xml:space="preserve"> PAGE   \* MERGEFORMAT </w:instrText>
    </w:r>
    <w:r w:rsidR="003F49EB">
      <w:fldChar w:fldCharType="separate"/>
    </w:r>
    <w:r w:rsidR="00E05388">
      <w:rPr>
        <w:noProof/>
      </w:rPr>
      <w:t>2</w:t>
    </w:r>
    <w:r w:rsidR="003F49EB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23AF7"/>
    <w:rsid w:val="001309E6"/>
    <w:rsid w:val="001334C6"/>
    <w:rsid w:val="001379AD"/>
    <w:rsid w:val="001515FF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068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49EB"/>
    <w:rsid w:val="003F5CF4"/>
    <w:rsid w:val="00405DC9"/>
    <w:rsid w:val="00423B78"/>
    <w:rsid w:val="004311A3"/>
    <w:rsid w:val="00454A1D"/>
    <w:rsid w:val="0046078D"/>
    <w:rsid w:val="00460918"/>
    <w:rsid w:val="00475571"/>
    <w:rsid w:val="004A7DE2"/>
    <w:rsid w:val="004C491E"/>
    <w:rsid w:val="004C5561"/>
    <w:rsid w:val="004D0079"/>
    <w:rsid w:val="004D538E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64AD2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3D08"/>
    <w:rsid w:val="009A45DD"/>
    <w:rsid w:val="009D36BA"/>
    <w:rsid w:val="009F2BD3"/>
    <w:rsid w:val="00A00D1F"/>
    <w:rsid w:val="00A02B0A"/>
    <w:rsid w:val="00A072A2"/>
    <w:rsid w:val="00A234BF"/>
    <w:rsid w:val="00A23784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26C94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812A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05388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7B4AC8B9-A02A-4A33-81B1-DE05C23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053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E05388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E05388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05388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E0538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05388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E0538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05388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E0538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05388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E0538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0538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E05388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05388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E05388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05388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E05388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05388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E05388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E0538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E05388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0538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E0538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05388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0538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05388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E05388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05388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E05388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05388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E05388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05388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E05388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E05388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E05388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E05388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05388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05388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E0538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05388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05388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E05388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E05388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E0538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E0538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E05388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05388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05388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E0538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E0538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0538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E05388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E05388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E0538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E0538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E0538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E05388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E05388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E05388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E05388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E05388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E05388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E05388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E05388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E05388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E05388"/>
    <w:rPr>
      <w:rFonts w:ascii="Arial" w:hAnsi="Arial" w:cs="Times New Roman"/>
      <w:sz w:val="20"/>
      <w:szCs w:val="24"/>
    </w:rPr>
  </w:style>
  <w:style w:type="table" w:styleId="TableGrid">
    <w:name w:val="Table Grid"/>
    <w:basedOn w:val="TableNormal"/>
    <w:uiPriority w:val="59"/>
    <w:locked/>
    <w:rsid w:val="00E0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E500-861D-4070-B1E0-023A8B85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7</cp:revision>
  <cp:lastPrinted>2013-01-21T23:55:00Z</cp:lastPrinted>
  <dcterms:created xsi:type="dcterms:W3CDTF">2012-11-14T19:07:00Z</dcterms:created>
  <dcterms:modified xsi:type="dcterms:W3CDTF">2013-01-30T18:20:00Z</dcterms:modified>
</cp:coreProperties>
</file>