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C8" w:rsidRPr="007F2267" w:rsidRDefault="005E30C8" w:rsidP="008870E8">
      <w:pPr>
        <w:pStyle w:val="A-BH"/>
      </w:pPr>
      <w:r w:rsidRPr="007F2267">
        <w:t xml:space="preserve">Rubric for Final Performance Tasks </w:t>
      </w:r>
      <w:r w:rsidR="00265DC8">
        <w:br/>
      </w:r>
      <w:r w:rsidR="005D7A6A">
        <w:t>for</w:t>
      </w:r>
      <w:r w:rsidRPr="007F2267">
        <w:t xml:space="preserve"> Unit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5"/>
        <w:gridCol w:w="1915"/>
        <w:gridCol w:w="1915"/>
        <w:gridCol w:w="1915"/>
        <w:gridCol w:w="1916"/>
      </w:tblGrid>
      <w:tr w:rsidR="005E30C8" w:rsidRPr="00D52762" w:rsidTr="00FE046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A80F0D">
            <w:pPr>
              <w:pStyle w:val="A-ChartHeads"/>
              <w:spacing w:before="40"/>
            </w:pPr>
            <w:r w:rsidRPr="00D52762">
              <w:t>Criteria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A80F0D">
            <w:pPr>
              <w:pStyle w:val="A-ChartHeads"/>
              <w:spacing w:before="40"/>
            </w:pPr>
            <w:r w:rsidRPr="00D52762"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A80F0D">
            <w:pPr>
              <w:pStyle w:val="A-ChartHeads"/>
              <w:spacing w:before="40"/>
            </w:pPr>
            <w:r w:rsidRPr="00D52762"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A80F0D">
            <w:pPr>
              <w:pStyle w:val="A-ChartHeads"/>
              <w:spacing w:before="40"/>
            </w:pPr>
            <w:r w:rsidRPr="00D52762"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A80F0D">
            <w:pPr>
              <w:pStyle w:val="A-ChartHeads"/>
              <w:spacing w:before="40"/>
            </w:pPr>
            <w:r w:rsidRPr="00D52762">
              <w:t>1</w:t>
            </w:r>
          </w:p>
        </w:tc>
      </w:tr>
      <w:tr w:rsidR="005E30C8" w:rsidRPr="00D52762" w:rsidTr="00FE046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923A60" w:rsidRDefault="005E30C8" w:rsidP="00141DD7">
            <w:pPr>
              <w:pStyle w:val="ChartBoldText"/>
              <w:spacing w:before="40"/>
              <w:jc w:val="left"/>
              <w:rPr>
                <w:rFonts w:cs="Arial"/>
                <w:szCs w:val="18"/>
              </w:rPr>
            </w:pPr>
            <w:r w:rsidRPr="00923A60">
              <w:rPr>
                <w:rFonts w:cs="Arial"/>
                <w:szCs w:val="18"/>
              </w:rPr>
              <w:t>Assignment includes all items requested in the instructions.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923A60" w:rsidP="00141DD7">
            <w:pPr>
              <w:pStyle w:val="A-ChartText"/>
              <w:spacing w:before="40"/>
              <w:jc w:val="left"/>
            </w:pPr>
            <w:bookmarkStart w:id="0" w:name="_GoBack"/>
            <w:r w:rsidRPr="00923A60">
              <w:t>Assignment includes all items requested, and they are completed above expectations.</w:t>
            </w:r>
            <w:bookmarkEnd w:id="0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includes all items requested.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includes over half of the items requested.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includes less than half of the items requested.</w:t>
            </w:r>
          </w:p>
        </w:tc>
      </w:tr>
      <w:tr w:rsidR="005E30C8" w:rsidRPr="00D52762" w:rsidTr="00FE046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FE2CDD" w:rsidRDefault="005E30C8" w:rsidP="00FE2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</w:rPr>
            </w:pPr>
            <w:r w:rsidRPr="00923A60">
              <w:rPr>
                <w:rFonts w:ascii="Arial" w:hAnsi="Arial" w:cs="Arial"/>
                <w:b/>
                <w:bCs/>
                <w:sz w:val="18"/>
                <w:szCs w:val="18"/>
              </w:rPr>
              <w:t>Assignment shows understanding of the concept</w:t>
            </w:r>
            <w:r w:rsidR="00FE2CD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23A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23A60" w:rsidRPr="00923A60"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</w:rPr>
              <w:t>the New Testament is Divine Revelation that shows how God fulfilled his Old Testament promises by sending Jesus to save us by his life, death, and Resurrection</w:t>
            </w:r>
            <w:r w:rsidR="00C052E4"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</w:rPr>
              <w:t>,</w:t>
            </w:r>
            <w:r w:rsidR="00FE2CDD"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923A60" w:rsidRPr="00FE2CDD"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</w:rPr>
              <w:t>and through his Church.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unusually insightful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good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adequate understanding of this concept.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little understanding of this concept.</w:t>
            </w:r>
          </w:p>
        </w:tc>
      </w:tr>
      <w:tr w:rsidR="005E30C8" w:rsidRPr="00D52762" w:rsidTr="008870E8">
        <w:trPr>
          <w:trHeight w:val="237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923A60" w:rsidRDefault="005E30C8" w:rsidP="00141DD7">
            <w:pPr>
              <w:pStyle w:val="ChartBoldText"/>
              <w:spacing w:before="40"/>
              <w:jc w:val="left"/>
              <w:rPr>
                <w:rFonts w:cs="Arial"/>
                <w:bCs/>
                <w:iCs/>
                <w:szCs w:val="18"/>
              </w:rPr>
            </w:pPr>
            <w:r w:rsidRPr="00923A60">
              <w:rPr>
                <w:rFonts w:cs="Arial"/>
                <w:bCs/>
                <w:szCs w:val="18"/>
              </w:rPr>
              <w:t>Assignment shows understanding of the concept</w:t>
            </w:r>
            <w:r w:rsidR="00FE2CDD">
              <w:rPr>
                <w:rFonts w:cs="Arial"/>
                <w:bCs/>
                <w:szCs w:val="18"/>
              </w:rPr>
              <w:t>:</w:t>
            </w:r>
            <w:r w:rsidRPr="00923A60">
              <w:rPr>
                <w:rFonts w:cs="Arial"/>
                <w:bCs/>
                <w:szCs w:val="18"/>
              </w:rPr>
              <w:t xml:space="preserve"> </w:t>
            </w:r>
            <w:r w:rsidR="00923A60">
              <w:rPr>
                <w:rFonts w:cs="Arial"/>
                <w:i/>
                <w:color w:val="000000"/>
                <w:szCs w:val="18"/>
              </w:rPr>
              <w:t>t</w:t>
            </w:r>
            <w:r w:rsidR="00923A60" w:rsidRPr="00923A60">
              <w:rPr>
                <w:rFonts w:cs="Arial"/>
                <w:i/>
                <w:color w:val="000000"/>
                <w:szCs w:val="18"/>
              </w:rPr>
              <w:t>he New Testament is rooted in the teachings of Jesus handed down by the Apostles as a guide for Christian life. The Church compiled its books and interprets them.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unusually insightful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good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adequate understanding of this concept.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little understanding of this concept.</w:t>
            </w:r>
          </w:p>
        </w:tc>
      </w:tr>
      <w:tr w:rsidR="005E30C8" w:rsidRPr="00D52762" w:rsidTr="008870E8">
        <w:trPr>
          <w:trHeight w:val="269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923A60" w:rsidRDefault="005E30C8" w:rsidP="00923A60">
            <w:pPr>
              <w:pStyle w:val="ChartBoldText"/>
              <w:spacing w:before="40"/>
              <w:jc w:val="left"/>
              <w:rPr>
                <w:rFonts w:cs="Arial"/>
                <w:szCs w:val="18"/>
              </w:rPr>
            </w:pPr>
            <w:r w:rsidRPr="00923A60">
              <w:rPr>
                <w:rFonts w:cs="Arial"/>
                <w:bCs/>
                <w:szCs w:val="18"/>
              </w:rPr>
              <w:t>Assignment shows understanding of the concept</w:t>
            </w:r>
            <w:r w:rsidR="00FE2CDD">
              <w:rPr>
                <w:rFonts w:cs="Arial"/>
                <w:bCs/>
                <w:szCs w:val="18"/>
              </w:rPr>
              <w:t>:</w:t>
            </w:r>
            <w:r w:rsidRPr="00923A60">
              <w:rPr>
                <w:rFonts w:cs="Arial"/>
                <w:bCs/>
                <w:szCs w:val="18"/>
              </w:rPr>
              <w:t xml:space="preserve"> </w:t>
            </w:r>
            <w:r w:rsidR="00923A60" w:rsidRPr="00923A60">
              <w:rPr>
                <w:rFonts w:cs="Arial"/>
                <w:i/>
                <w:color w:val="000000"/>
                <w:szCs w:val="18"/>
              </w:rPr>
              <w:t xml:space="preserve">the Gospels, our primary sources about Jesus, </w:t>
            </w:r>
            <w:r w:rsidR="00923A60">
              <w:rPr>
                <w:rFonts w:cs="Arial"/>
                <w:i/>
                <w:color w:val="000000"/>
                <w:szCs w:val="18"/>
              </w:rPr>
              <w:t>are not history</w:t>
            </w:r>
            <w:r w:rsidR="00923A60" w:rsidRPr="00923A60">
              <w:rPr>
                <w:rFonts w:cs="Arial"/>
                <w:i/>
                <w:color w:val="000000"/>
                <w:szCs w:val="18"/>
              </w:rPr>
              <w:t xml:space="preserve"> but testimonies of faith. Matthew, Mark, and Luke are “synoptic,” or similar. John is more theological. Matthew and Luke used Mark and the Q Source.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unusually insightful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good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adequate understanding of this concept.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141DD7">
            <w:pPr>
              <w:pStyle w:val="A-ChartText"/>
              <w:spacing w:before="40"/>
              <w:jc w:val="left"/>
            </w:pPr>
            <w:r w:rsidRPr="00D52762">
              <w:t>Assignment shows little understanding of this concept.</w:t>
            </w:r>
          </w:p>
        </w:tc>
      </w:tr>
      <w:tr w:rsidR="005E30C8" w:rsidRPr="00D52762" w:rsidTr="008870E8">
        <w:trPr>
          <w:trHeight w:val="289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8870E8" w:rsidRDefault="005E30C8" w:rsidP="00895A9F">
            <w:pPr>
              <w:pStyle w:val="ChartBoldText"/>
              <w:spacing w:before="40"/>
              <w:jc w:val="left"/>
              <w:rPr>
                <w:bCs/>
              </w:rPr>
            </w:pPr>
            <w:r w:rsidRPr="008F7872">
              <w:rPr>
                <w:bCs/>
              </w:rPr>
              <w:lastRenderedPageBreak/>
              <w:t xml:space="preserve">Assignment shows understanding of </w:t>
            </w:r>
            <w:r w:rsidR="00953684">
              <w:rPr>
                <w:bCs/>
              </w:rPr>
              <w:t>this concept</w:t>
            </w:r>
            <w:r w:rsidR="00FE2CDD">
              <w:rPr>
                <w:bCs/>
              </w:rPr>
              <w:t>:</w:t>
            </w:r>
            <w:r w:rsidRPr="008F7872">
              <w:rPr>
                <w:bCs/>
              </w:rPr>
              <w:t xml:space="preserve"> </w:t>
            </w:r>
            <w:r w:rsidR="00953684" w:rsidRPr="00953684">
              <w:rPr>
                <w:bCs/>
                <w:i/>
              </w:rPr>
              <w:t>to discern the divine messages in the Bible, it is necessary to know the writers’ opinions, biases, intentions, culture, and history as well as the languages and symbols of the books.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shows unusually insightful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shows good understanding of this concept.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shows adequate understanding of this concept.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shows little understanding of this concept.</w:t>
            </w:r>
          </w:p>
        </w:tc>
      </w:tr>
      <w:tr w:rsidR="005E30C8" w:rsidRPr="00D52762" w:rsidTr="00FE046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ChartBoldText"/>
              <w:spacing w:before="40"/>
              <w:jc w:val="left"/>
            </w:pPr>
            <w:r w:rsidRPr="00D52762">
              <w:t>Assignment uses proper grammar and spelling.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has no grammar or spelling errors.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has one grammar or spelling error.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has two grammar or spelling errors.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has more than two grammar or spelling errors.</w:t>
            </w:r>
          </w:p>
        </w:tc>
      </w:tr>
      <w:tr w:rsidR="005E30C8" w:rsidRPr="00D52762" w:rsidTr="00FE046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ChartBoldText"/>
              <w:spacing w:before="40"/>
              <w:jc w:val="left"/>
            </w:pPr>
            <w:r w:rsidRPr="00D52762">
              <w:t>Assignment is neatly done.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FE2CDD">
            <w:pPr>
              <w:pStyle w:val="A-ChartText"/>
              <w:spacing w:before="40"/>
              <w:jc w:val="left"/>
            </w:pPr>
            <w:r w:rsidRPr="00D52762">
              <w:t xml:space="preserve">Assignment not only </w:t>
            </w:r>
            <w:r w:rsidR="00FE2CDD">
              <w:t xml:space="preserve">is </w:t>
            </w:r>
            <w:r w:rsidRPr="00D52762">
              <w:t>neat but is exceptionally creative.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is neatly done.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is neat for the most part.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C8" w:rsidRPr="00D52762" w:rsidRDefault="005E30C8" w:rsidP="00895A9F">
            <w:pPr>
              <w:pStyle w:val="A-ChartText"/>
              <w:spacing w:before="40"/>
              <w:jc w:val="left"/>
            </w:pPr>
            <w:r w:rsidRPr="00D52762">
              <w:t>Assignment is not neat.</w:t>
            </w:r>
          </w:p>
        </w:tc>
      </w:tr>
    </w:tbl>
    <w:p w:rsidR="005E30C8" w:rsidRPr="00D52762" w:rsidRDefault="005E30C8" w:rsidP="005E30C8">
      <w:pPr>
        <w:pStyle w:val="text"/>
        <w:rPr>
          <w:color w:val="auto"/>
        </w:rPr>
      </w:pPr>
    </w:p>
    <w:p w:rsidR="00AB7193" w:rsidRPr="005E30C8" w:rsidRDefault="00AB7193" w:rsidP="005E30C8"/>
    <w:sectPr w:rsidR="00AB7193" w:rsidRPr="005E30C8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C1" w:rsidRDefault="003014C1" w:rsidP="004D0079">
      <w:r>
        <w:separator/>
      </w:r>
    </w:p>
    <w:p w:rsidR="003014C1" w:rsidRDefault="003014C1"/>
  </w:endnote>
  <w:endnote w:type="continuationSeparator" w:id="0">
    <w:p w:rsidR="003014C1" w:rsidRDefault="003014C1" w:rsidP="004D0079">
      <w:r>
        <w:continuationSeparator/>
      </w:r>
    </w:p>
    <w:p w:rsidR="003014C1" w:rsidRDefault="003014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4703F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D282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D61E5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20683" w:rsidRPr="0052068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TX001712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4703F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7732" w:rsidRDefault="00FE7732" w:rsidP="00FE7732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FE7732" w:rsidRDefault="00FE7732" w:rsidP="00FE7732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D0518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FE5D24" w:rsidRPr="000E1ADA" w:rsidRDefault="00FE7732" w:rsidP="00FE7732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20683" w:rsidRPr="0052068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TX001712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C1" w:rsidRDefault="003014C1" w:rsidP="004D0079">
      <w:r>
        <w:separator/>
      </w:r>
    </w:p>
    <w:p w:rsidR="003014C1" w:rsidRDefault="003014C1"/>
  </w:footnote>
  <w:footnote w:type="continuationSeparator" w:id="0">
    <w:p w:rsidR="003014C1" w:rsidRDefault="003014C1" w:rsidP="004D0079">
      <w:r>
        <w:continuationSeparator/>
      </w:r>
    </w:p>
    <w:p w:rsidR="003014C1" w:rsidRDefault="003014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E30C8" w:rsidP="00DC08C5">
    <w:pPr>
      <w:pStyle w:val="A-Header-articletitlepage2"/>
    </w:pPr>
    <w:r w:rsidRPr="007F2267">
      <w:t xml:space="preserve">Rubric for Final Performance Tasks </w:t>
    </w:r>
    <w:r w:rsidR="00376416">
      <w:t>for</w:t>
    </w:r>
    <w:r w:rsidRPr="007F2267">
      <w:t xml:space="preserve"> Unit 1</w:t>
    </w:r>
    <w:r w:rsidR="00FE5D24">
      <w:tab/>
    </w:r>
    <w:r w:rsidR="00FE5D24" w:rsidRPr="00F82D2A">
      <w:t xml:space="preserve">Page | </w:t>
    </w:r>
    <w:r w:rsidR="004703F5">
      <w:fldChar w:fldCharType="begin"/>
    </w:r>
    <w:r w:rsidR="00856656">
      <w:instrText xml:space="preserve"> PAGE   \* MERGEFORMAT </w:instrText>
    </w:r>
    <w:r w:rsidR="004703F5">
      <w:fldChar w:fldCharType="separate"/>
    </w:r>
    <w:r w:rsidR="00C052E4">
      <w:rPr>
        <w:noProof/>
      </w:rPr>
      <w:t>2</w:t>
    </w:r>
    <w:r w:rsidR="004703F5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8F" w:rsidRDefault="00FE2CDD" w:rsidP="004C6E8F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C6E8F">
      <w:rPr>
        <w:rFonts w:ascii="Arial" w:hAnsi="Arial" w:cs="Arial"/>
        <w:color w:val="000000"/>
        <w:vertAlign w:val="superscript"/>
      </w:rPr>
      <w:t>®</w:t>
    </w:r>
    <w:r w:rsidR="004C6E8F">
      <w:rPr>
        <w:rFonts w:ascii="Arial" w:hAnsi="Arial" w:cs="Arial"/>
        <w:color w:val="000000"/>
      </w:rPr>
      <w:t xml:space="preserve"> Teacher Guide</w:t>
    </w:r>
  </w:p>
  <w:p w:rsidR="004C6E8F" w:rsidRDefault="004C6E8F" w:rsidP="004C6E8F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FE5D24" w:rsidRPr="004C6E8F" w:rsidRDefault="00FE5D24" w:rsidP="004C6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2AAD"/>
    <w:rsid w:val="000262AD"/>
    <w:rsid w:val="00026B17"/>
    <w:rsid w:val="000318AE"/>
    <w:rsid w:val="00056DA9"/>
    <w:rsid w:val="000618B8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7A6E"/>
    <w:rsid w:val="00122197"/>
    <w:rsid w:val="001309E6"/>
    <w:rsid w:val="00130AE1"/>
    <w:rsid w:val="001334C6"/>
    <w:rsid w:val="00135CDE"/>
    <w:rsid w:val="00141DD7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D0623"/>
    <w:rsid w:val="001E64A9"/>
    <w:rsid w:val="001E79E6"/>
    <w:rsid w:val="001F322F"/>
    <w:rsid w:val="001F7384"/>
    <w:rsid w:val="00225B1E"/>
    <w:rsid w:val="00231C40"/>
    <w:rsid w:val="00235FB9"/>
    <w:rsid w:val="00236F06"/>
    <w:rsid w:val="002462B2"/>
    <w:rsid w:val="00254E02"/>
    <w:rsid w:val="00261080"/>
    <w:rsid w:val="00265087"/>
    <w:rsid w:val="00265DC8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14C1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76416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703F5"/>
    <w:rsid w:val="00473464"/>
    <w:rsid w:val="00475571"/>
    <w:rsid w:val="0049331D"/>
    <w:rsid w:val="004A3116"/>
    <w:rsid w:val="004A7DE2"/>
    <w:rsid w:val="004C5561"/>
    <w:rsid w:val="004C6E8F"/>
    <w:rsid w:val="004D0079"/>
    <w:rsid w:val="004D2051"/>
    <w:rsid w:val="004D74F6"/>
    <w:rsid w:val="004D7A2E"/>
    <w:rsid w:val="004E5DFC"/>
    <w:rsid w:val="004F7ACF"/>
    <w:rsid w:val="00500FAD"/>
    <w:rsid w:val="0050251D"/>
    <w:rsid w:val="00512FE3"/>
    <w:rsid w:val="00520683"/>
    <w:rsid w:val="00545244"/>
    <w:rsid w:val="00555CB8"/>
    <w:rsid w:val="00555EA6"/>
    <w:rsid w:val="0058460F"/>
    <w:rsid w:val="005A4359"/>
    <w:rsid w:val="005A6944"/>
    <w:rsid w:val="005D7A6A"/>
    <w:rsid w:val="005E0C08"/>
    <w:rsid w:val="005E30C8"/>
    <w:rsid w:val="005F599B"/>
    <w:rsid w:val="0060248C"/>
    <w:rsid w:val="006067CC"/>
    <w:rsid w:val="00614B48"/>
    <w:rsid w:val="00623829"/>
    <w:rsid w:val="00624A61"/>
    <w:rsid w:val="00625591"/>
    <w:rsid w:val="00631BC6"/>
    <w:rsid w:val="006328D4"/>
    <w:rsid w:val="00645A10"/>
    <w:rsid w:val="00652A68"/>
    <w:rsid w:val="006609CF"/>
    <w:rsid w:val="00670AE9"/>
    <w:rsid w:val="00675CB2"/>
    <w:rsid w:val="0069306F"/>
    <w:rsid w:val="006A5B02"/>
    <w:rsid w:val="006B1DA0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C1B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47B4C"/>
    <w:rsid w:val="008541FB"/>
    <w:rsid w:val="0085547F"/>
    <w:rsid w:val="00856656"/>
    <w:rsid w:val="00861A93"/>
    <w:rsid w:val="008817B5"/>
    <w:rsid w:val="00883D20"/>
    <w:rsid w:val="008870E8"/>
    <w:rsid w:val="00895A9F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23A60"/>
    <w:rsid w:val="009307E1"/>
    <w:rsid w:val="00931F4E"/>
    <w:rsid w:val="00933E81"/>
    <w:rsid w:val="00945A73"/>
    <w:rsid w:val="00953684"/>
    <w:rsid w:val="009563C5"/>
    <w:rsid w:val="009665D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0F0D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690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52E4"/>
    <w:rsid w:val="00C07507"/>
    <w:rsid w:val="00C11F94"/>
    <w:rsid w:val="00C13310"/>
    <w:rsid w:val="00C25959"/>
    <w:rsid w:val="00C3410A"/>
    <w:rsid w:val="00C34AF8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6DFB"/>
    <w:rsid w:val="00D02316"/>
    <w:rsid w:val="00D04A29"/>
    <w:rsid w:val="00D05180"/>
    <w:rsid w:val="00D105EA"/>
    <w:rsid w:val="00D14D22"/>
    <w:rsid w:val="00D33298"/>
    <w:rsid w:val="00D45298"/>
    <w:rsid w:val="00D57D5E"/>
    <w:rsid w:val="00D61E5B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E6FD7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2825"/>
    <w:rsid w:val="00EE07AB"/>
    <w:rsid w:val="00EE0D45"/>
    <w:rsid w:val="00EE658A"/>
    <w:rsid w:val="00EF441F"/>
    <w:rsid w:val="00EF66ED"/>
    <w:rsid w:val="00F06D17"/>
    <w:rsid w:val="00F32CE5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2CDD"/>
    <w:rsid w:val="00FE5D24"/>
    <w:rsid w:val="00FE7732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8870E8"/>
    <w:pPr>
      <w:jc w:val="center"/>
    </w:pPr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8870E8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tBoldText">
    <w:name w:val="Chart Bold Text"/>
    <w:basedOn w:val="A-ChartText"/>
    <w:qFormat/>
    <w:rsid w:val="008870E8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4C6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E8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2904-46DE-4899-A734-5C391049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21</cp:revision>
  <cp:lastPrinted>2010-01-08T18:19:00Z</cp:lastPrinted>
  <dcterms:created xsi:type="dcterms:W3CDTF">2011-02-23T14:14:00Z</dcterms:created>
  <dcterms:modified xsi:type="dcterms:W3CDTF">2011-05-12T19:57:00Z</dcterms:modified>
</cp:coreProperties>
</file>