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72" w:rsidRDefault="00F86BAD" w:rsidP="00DC7244">
      <w:pPr>
        <w:pStyle w:val="A-BH"/>
      </w:pPr>
      <w:r w:rsidRPr="00F86BAD">
        <w:t>Preparing a Wedding Ceremony (Part 2)</w:t>
      </w:r>
    </w:p>
    <w:p w:rsidR="00E66D72" w:rsidRDefault="00C14EC8" w:rsidP="00DC7244">
      <w:pPr>
        <w:pStyle w:val="A-Text"/>
      </w:pPr>
      <w:r w:rsidRPr="00C14EC8">
        <w:t xml:space="preserve">This </w:t>
      </w:r>
      <w:r w:rsidR="007F24D4">
        <w:t>handout</w:t>
      </w:r>
      <w:r w:rsidR="007F24D4" w:rsidRPr="00C14EC8">
        <w:t xml:space="preserve"> </w:t>
      </w:r>
      <w:r w:rsidRPr="00C14EC8">
        <w:t xml:space="preserve">accompanies the handout “Preparing a Wedding Ceremony (Part 1).” After reading and considering the various options listed on that handout, consult with your group and </w:t>
      </w:r>
      <w:r w:rsidR="001D4157">
        <w:t>choose</w:t>
      </w:r>
      <w:r w:rsidRPr="00C14EC8">
        <w:t xml:space="preserve"> one </w:t>
      </w:r>
      <w:r w:rsidR="00A86FCF">
        <w:t>option for</w:t>
      </w:r>
      <w:r w:rsidRPr="00C14EC8">
        <w:t xml:space="preserve"> each box in the first column below. For each </w:t>
      </w:r>
      <w:r w:rsidR="00A86FCF">
        <w:t>option</w:t>
      </w:r>
      <w:r w:rsidRPr="00C14EC8">
        <w:t>, discuss the questions in the second and third columns and write a summary of your group’s responses.</w:t>
      </w:r>
    </w:p>
    <w:p w:rsidR="00C14EC8" w:rsidRPr="00C14EC8" w:rsidRDefault="00C14EC8" w:rsidP="00C14EC8">
      <w:pPr>
        <w:rPr>
          <w:rFonts w:ascii="Book Antiqua" w:hAnsi="Book Antiqua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35"/>
        <w:gridCol w:w="4428"/>
        <w:gridCol w:w="5093"/>
      </w:tblGrid>
      <w:tr w:rsidR="00C14EC8" w:rsidRPr="00C14EC8" w:rsidTr="00333C02"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Choice of Scripture Readings</w:t>
            </w: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What meaning does this reading have for the Sacrament of Marriage?</w:t>
            </w: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Why did you choose this reading?</w:t>
            </w:r>
          </w:p>
        </w:tc>
      </w:tr>
      <w:tr w:rsidR="00C14EC8" w:rsidRPr="00C14EC8" w:rsidTr="00DC7244">
        <w:trPr>
          <w:trHeight w:val="976"/>
        </w:trPr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1</w:t>
            </w:r>
            <w:r w:rsidRPr="00C14EC8">
              <w:rPr>
                <w:vertAlign w:val="superscript"/>
              </w:rPr>
              <w:t>st</w:t>
            </w:r>
            <w:r w:rsidRPr="00C14EC8">
              <w:t xml:space="preserve"> Reading:</w:t>
            </w: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</w:p>
        </w:tc>
      </w:tr>
      <w:tr w:rsidR="00C14EC8" w:rsidRPr="00C14EC8" w:rsidTr="00DC7244">
        <w:trPr>
          <w:trHeight w:val="976"/>
        </w:trPr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2</w:t>
            </w:r>
            <w:r w:rsidRPr="00C14EC8">
              <w:rPr>
                <w:vertAlign w:val="superscript"/>
              </w:rPr>
              <w:t>nd</w:t>
            </w:r>
            <w:r w:rsidRPr="00C14EC8">
              <w:t xml:space="preserve"> Reading:</w:t>
            </w: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</w:p>
        </w:tc>
      </w:tr>
      <w:tr w:rsidR="00C14EC8" w:rsidRPr="00C14EC8" w:rsidTr="00DC7244">
        <w:trPr>
          <w:trHeight w:val="976"/>
        </w:trPr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Gospel Reading:</w:t>
            </w: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</w:p>
        </w:tc>
      </w:tr>
      <w:tr w:rsidR="00C14EC8" w:rsidRPr="00C14EC8" w:rsidTr="00333C02"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Choice of Wedding Vows:</w:t>
            </w:r>
          </w:p>
          <w:p w:rsidR="00C14EC8" w:rsidRPr="00C14EC8" w:rsidRDefault="00C14EC8" w:rsidP="00DC7244">
            <w:pPr>
              <w:pStyle w:val="A-ChartHeads"/>
            </w:pPr>
            <w:r w:rsidRPr="00C14EC8">
              <w:t xml:space="preserve">(Option </w:t>
            </w:r>
            <w:r w:rsidR="001639A6">
              <w:t>1</w:t>
            </w:r>
            <w:r w:rsidR="001639A6" w:rsidRPr="00C14EC8">
              <w:t xml:space="preserve"> </w:t>
            </w:r>
            <w:r w:rsidRPr="00C14EC8">
              <w:t xml:space="preserve">or </w:t>
            </w:r>
            <w:r w:rsidR="001639A6">
              <w:t>2</w:t>
            </w:r>
            <w:r w:rsidRPr="00C14EC8">
              <w:t>?)</w:t>
            </w: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 xml:space="preserve"> How do these words symbolize the central meaning of the Sacrament of Marriage?</w:t>
            </w: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Why did you choose this option?</w:t>
            </w:r>
          </w:p>
        </w:tc>
      </w:tr>
      <w:tr w:rsidR="00C14EC8" w:rsidRPr="00C14EC8" w:rsidTr="00333C02"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</w:p>
        </w:tc>
      </w:tr>
      <w:tr w:rsidR="00C14EC8" w:rsidRPr="00C14EC8" w:rsidTr="00333C02"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 xml:space="preserve">Formula for Exchange of Wedding Rings (Option </w:t>
            </w:r>
            <w:r w:rsidR="001639A6">
              <w:t>1</w:t>
            </w:r>
            <w:r w:rsidRPr="00C14EC8">
              <w:t xml:space="preserve">, </w:t>
            </w:r>
            <w:r w:rsidR="001639A6">
              <w:t>2</w:t>
            </w:r>
            <w:r w:rsidRPr="00C14EC8">
              <w:t xml:space="preserve">, or </w:t>
            </w:r>
            <w:r w:rsidR="001639A6">
              <w:t>3</w:t>
            </w:r>
            <w:r w:rsidRPr="00C14EC8">
              <w:t>?)</w:t>
            </w: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How do these words and the rings themselves symbolize the Sacrament of Marriage?</w:t>
            </w: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  <w:r w:rsidRPr="00C14EC8">
              <w:t>Why did you choose this option?</w:t>
            </w:r>
          </w:p>
        </w:tc>
      </w:tr>
      <w:tr w:rsidR="00C14EC8" w:rsidRPr="00C14EC8" w:rsidTr="00DC7244">
        <w:trPr>
          <w:trHeight w:val="1115"/>
        </w:trPr>
        <w:tc>
          <w:tcPr>
            <w:tcW w:w="3078" w:type="dxa"/>
          </w:tcPr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4680" w:type="dxa"/>
          </w:tcPr>
          <w:p w:rsidR="00C14EC8" w:rsidRPr="00C14EC8" w:rsidRDefault="00C14EC8" w:rsidP="00DC7244">
            <w:pPr>
              <w:pStyle w:val="A-ChartHeads"/>
            </w:pPr>
          </w:p>
        </w:tc>
        <w:tc>
          <w:tcPr>
            <w:tcW w:w="5418" w:type="dxa"/>
          </w:tcPr>
          <w:p w:rsidR="00C14EC8" w:rsidRPr="00C14EC8" w:rsidRDefault="00C14EC8" w:rsidP="00DC7244">
            <w:pPr>
              <w:pStyle w:val="A-ChartHeads"/>
            </w:pPr>
          </w:p>
        </w:tc>
      </w:tr>
    </w:tbl>
    <w:p w:rsidR="00AB7193" w:rsidRPr="00C14EC8" w:rsidRDefault="00AB7193" w:rsidP="00C14EC8">
      <w:pPr>
        <w:rPr>
          <w:rFonts w:ascii="Book Antiqua" w:hAnsi="Book Antiqua"/>
        </w:rPr>
      </w:pPr>
    </w:p>
    <w:sectPr w:rsidR="00AB7193" w:rsidRPr="00C14EC8" w:rsidSect="00C14E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98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18" w:rsidRDefault="004E3818" w:rsidP="004D0079">
      <w:r>
        <w:separator/>
      </w:r>
    </w:p>
    <w:p w:rsidR="004E3818" w:rsidRDefault="004E3818"/>
  </w:endnote>
  <w:endnote w:type="continuationSeparator" w:id="0">
    <w:p w:rsidR="004E3818" w:rsidRDefault="004E3818" w:rsidP="004D0079">
      <w:r>
        <w:continuationSeparator/>
      </w:r>
    </w:p>
    <w:p w:rsidR="004E3818" w:rsidRDefault="004E38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779D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F24D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F24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002811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779D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587.6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C72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DC72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F24D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F24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002811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18" w:rsidRDefault="004E3818" w:rsidP="004D0079">
      <w:r>
        <w:separator/>
      </w:r>
    </w:p>
    <w:p w:rsidR="004E3818" w:rsidRDefault="004E3818"/>
  </w:footnote>
  <w:footnote w:type="continuationSeparator" w:id="0">
    <w:p w:rsidR="004E3818" w:rsidRDefault="004E3818" w:rsidP="004D0079">
      <w:r>
        <w:continuationSeparator/>
      </w:r>
    </w:p>
    <w:p w:rsidR="004E3818" w:rsidRDefault="004E38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14EC8" w:rsidP="00DC08C5">
    <w:pPr>
      <w:pStyle w:val="A-Header-articletitlepage2"/>
    </w:pPr>
    <w:r>
      <w:t xml:space="preserve">Preparing a Wedding Ceremony (Part 2) </w:t>
    </w:r>
    <w:r w:rsidR="00FE5D24">
      <w:tab/>
    </w:r>
    <w:r w:rsidR="00FE5D24" w:rsidRPr="00F82D2A">
      <w:t xml:space="preserve">Page | </w:t>
    </w:r>
    <w:r w:rsidR="00E779D8">
      <w:fldChar w:fldCharType="begin"/>
    </w:r>
    <w:r w:rsidR="003D333A">
      <w:instrText xml:space="preserve"> PAGE   \* MERGEFORMAT </w:instrText>
    </w:r>
    <w:r w:rsidR="00E779D8">
      <w:fldChar w:fldCharType="separate"/>
    </w:r>
    <w:r w:rsidR="00DC7244">
      <w:rPr>
        <w:noProof/>
      </w:rPr>
      <w:t>2</w:t>
    </w:r>
    <w:r w:rsidR="00E779D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157C1"/>
    <w:rsid w:val="00122197"/>
    <w:rsid w:val="001309E6"/>
    <w:rsid w:val="00130AE1"/>
    <w:rsid w:val="001334C6"/>
    <w:rsid w:val="00152401"/>
    <w:rsid w:val="001639A6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4157"/>
    <w:rsid w:val="001E64A9"/>
    <w:rsid w:val="001E79E6"/>
    <w:rsid w:val="001F322F"/>
    <w:rsid w:val="001F7384"/>
    <w:rsid w:val="0020638E"/>
    <w:rsid w:val="00214D35"/>
    <w:rsid w:val="00225B1E"/>
    <w:rsid w:val="00225EB9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3818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24D4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6FCF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4EC8"/>
    <w:rsid w:val="00C3410A"/>
    <w:rsid w:val="00C3609F"/>
    <w:rsid w:val="00C42C51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0659F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74D"/>
    <w:rsid w:val="00DC7244"/>
    <w:rsid w:val="00DD28A2"/>
    <w:rsid w:val="00DE3B0A"/>
    <w:rsid w:val="00DE3F54"/>
    <w:rsid w:val="00E02EAF"/>
    <w:rsid w:val="00E069BA"/>
    <w:rsid w:val="00E06E98"/>
    <w:rsid w:val="00E12E92"/>
    <w:rsid w:val="00E16237"/>
    <w:rsid w:val="00E2045E"/>
    <w:rsid w:val="00E51E59"/>
    <w:rsid w:val="00E66D72"/>
    <w:rsid w:val="00E7545A"/>
    <w:rsid w:val="00E779D8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6BAD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C14EC8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C14EC8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2DFA-F5F7-4148-88CA-7B888EE5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12</cp:revision>
  <cp:lastPrinted>2010-01-08T18:19:00Z</cp:lastPrinted>
  <dcterms:created xsi:type="dcterms:W3CDTF">2012-05-06T18:04:00Z</dcterms:created>
  <dcterms:modified xsi:type="dcterms:W3CDTF">2012-07-09T18:54:00Z</dcterms:modified>
</cp:coreProperties>
</file>