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3E" w:rsidRPr="009E4250" w:rsidRDefault="002C273E" w:rsidP="0044081D">
      <w:pPr>
        <w:pStyle w:val="A-BH"/>
        <w:ind w:right="-180"/>
      </w:pPr>
      <w:r w:rsidRPr="009E4250">
        <w:t xml:space="preserve">Rubric for Final Performance Tasks for Unit </w:t>
      </w:r>
      <w:r w:rsidR="006E565D">
        <w:t>6</w:t>
      </w:r>
    </w:p>
    <w:tbl>
      <w:tblPr>
        <w:tblW w:w="97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233"/>
        <w:gridCol w:w="1807"/>
        <w:gridCol w:w="1555"/>
        <w:gridCol w:w="1685"/>
        <w:gridCol w:w="1425"/>
      </w:tblGrid>
      <w:tr w:rsidR="002C273E" w:rsidRPr="00B449A8" w:rsidTr="0044081D">
        <w:trPr>
          <w:trHeight w:val="1142"/>
        </w:trPr>
        <w:tc>
          <w:tcPr>
            <w:tcW w:w="3233" w:type="dxa"/>
            <w:tcBorders>
              <w:top w:val="single" w:sz="4" w:space="0" w:color="auto"/>
            </w:tcBorders>
          </w:tcPr>
          <w:p w:rsidR="002C273E" w:rsidRPr="00B449A8" w:rsidRDefault="002C273E" w:rsidP="0044081D">
            <w:pPr>
              <w:pStyle w:val="A-ChartHeads"/>
            </w:pPr>
            <w:r w:rsidRPr="00B449A8">
              <w:t>Assignment includes all items requested in the instructions.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>Assignment includes all items requested, and they are completed above expectations.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>Assignment includes all items requested.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>Assignment includes over half of the items requested.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>Assignment includes less than half of the items requested.</w:t>
            </w:r>
            <w:r w:rsidR="00DE5B10">
              <w:t xml:space="preserve"> </w:t>
            </w:r>
          </w:p>
        </w:tc>
      </w:tr>
      <w:tr w:rsidR="002C273E" w:rsidRPr="00B449A8" w:rsidTr="0044081D">
        <w:trPr>
          <w:trHeight w:val="1872"/>
        </w:trPr>
        <w:tc>
          <w:tcPr>
            <w:tcW w:w="3233" w:type="dxa"/>
          </w:tcPr>
          <w:p w:rsidR="002C273E" w:rsidRPr="0044081D" w:rsidRDefault="002C273E" w:rsidP="0044081D">
            <w:pPr>
              <w:pStyle w:val="A-ChartHeads"/>
            </w:pPr>
            <w:r w:rsidRPr="00675D6C">
              <w:t xml:space="preserve">Assignment shows understanding of the </w:t>
            </w:r>
            <w:r w:rsidR="00285959">
              <w:t xml:space="preserve">following </w:t>
            </w:r>
            <w:r w:rsidRPr="00675D6C">
              <w:t>concept</w:t>
            </w:r>
            <w:r w:rsidR="00285959">
              <w:t>:</w:t>
            </w:r>
            <w:r w:rsidRPr="00675D6C">
              <w:rPr>
                <w:i/>
                <w:iCs/>
              </w:rPr>
              <w:t xml:space="preserve"> </w:t>
            </w:r>
            <w:r w:rsidR="00AA1AE2" w:rsidRPr="00AA1AE2">
              <w:rPr>
                <w:i/>
              </w:rPr>
              <w:t>New philosophies developed during the Age of Reason—including rationalism, deism, and empiricism—and greatly transformed the course of history.</w:t>
            </w:r>
          </w:p>
        </w:tc>
        <w:tc>
          <w:tcPr>
            <w:tcW w:w="1807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5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8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42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2C273E" w:rsidRPr="00B449A8" w:rsidTr="0044081D">
        <w:trPr>
          <w:trHeight w:val="2595"/>
        </w:trPr>
        <w:tc>
          <w:tcPr>
            <w:tcW w:w="3233" w:type="dxa"/>
          </w:tcPr>
          <w:p w:rsidR="002C273E" w:rsidRPr="0044081D" w:rsidRDefault="002C273E" w:rsidP="0044081D">
            <w:pPr>
              <w:pStyle w:val="A-ChartHeads"/>
            </w:pPr>
            <w:r w:rsidRPr="00675D6C">
              <w:t>Assignment sho</w:t>
            </w:r>
            <w:r>
              <w:t xml:space="preserve">ws understanding of the </w:t>
            </w:r>
            <w:r w:rsidR="00285959">
              <w:t xml:space="preserve">following </w:t>
            </w:r>
            <w:r>
              <w:t>concept</w:t>
            </w:r>
            <w:r w:rsidR="00285959">
              <w:t xml:space="preserve">: </w:t>
            </w:r>
            <w:r w:rsidR="00AA1AE2" w:rsidRPr="00AA1AE2">
              <w:rPr>
                <w:i/>
              </w:rPr>
              <w:t>The Enlightenment and the French Revolution took a terrible toll on the Church and society in Europe, but these events also emphasized the Gospel values of liberty and equality for all and led to a renewal of Catholic piety and worship.</w:t>
            </w:r>
          </w:p>
        </w:tc>
        <w:tc>
          <w:tcPr>
            <w:tcW w:w="1807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5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8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42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2C273E" w:rsidRPr="00B449A8" w:rsidTr="0044081D">
        <w:trPr>
          <w:trHeight w:val="1872"/>
        </w:trPr>
        <w:tc>
          <w:tcPr>
            <w:tcW w:w="3233" w:type="dxa"/>
            <w:vMerge w:val="restart"/>
          </w:tcPr>
          <w:p w:rsidR="002C273E" w:rsidRPr="0044081D" w:rsidRDefault="002C273E" w:rsidP="0044081D">
            <w:pPr>
              <w:pStyle w:val="A-ChartHeads"/>
              <w:rPr>
                <w:i/>
              </w:rPr>
            </w:pPr>
            <w:r w:rsidRPr="00675D6C">
              <w:t>Assignment sho</w:t>
            </w:r>
            <w:r>
              <w:t xml:space="preserve">ws understanding of the </w:t>
            </w:r>
            <w:r w:rsidR="00285959">
              <w:t xml:space="preserve">following </w:t>
            </w:r>
            <w:r>
              <w:t>concept</w:t>
            </w:r>
            <w:r w:rsidR="00285959">
              <w:t>:</w:t>
            </w:r>
            <w:r w:rsidRPr="00675D6C">
              <w:t xml:space="preserve"> </w:t>
            </w:r>
            <w:r w:rsidR="00AA1AE2" w:rsidRPr="00AA1AE2">
              <w:rPr>
                <w:i/>
              </w:rPr>
              <w:t>Pope Pius IX strived to affirm the Church’s place in the modern world through a strengthening of lay spirituality, a renewal of devotional practices, and a call for a new Ecumenical Council.</w:t>
            </w:r>
          </w:p>
        </w:tc>
        <w:tc>
          <w:tcPr>
            <w:tcW w:w="1807" w:type="dxa"/>
            <w:vMerge w:val="restart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55" w:type="dxa"/>
            <w:vMerge w:val="restart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85" w:type="dxa"/>
            <w:vMerge w:val="restart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425" w:type="dxa"/>
            <w:vMerge w:val="restart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2C273E" w:rsidRPr="00B449A8" w:rsidTr="0044081D">
        <w:trPr>
          <w:trHeight w:val="230"/>
        </w:trPr>
        <w:tc>
          <w:tcPr>
            <w:tcW w:w="3233" w:type="dxa"/>
            <w:vMerge/>
            <w:vAlign w:val="center"/>
          </w:tcPr>
          <w:p w:rsidR="002C273E" w:rsidRPr="00B449A8" w:rsidRDefault="002C273E" w:rsidP="0044081D">
            <w:pPr>
              <w:pStyle w:val="A-ChartHeads"/>
              <w:rPr>
                <w:rFonts w:cs="Times New Roman"/>
              </w:rPr>
            </w:pPr>
          </w:p>
        </w:tc>
        <w:tc>
          <w:tcPr>
            <w:tcW w:w="1807" w:type="dxa"/>
            <w:vMerge/>
            <w:vAlign w:val="center"/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</w:p>
        </w:tc>
        <w:tc>
          <w:tcPr>
            <w:tcW w:w="1555" w:type="dxa"/>
            <w:vMerge/>
            <w:vAlign w:val="center"/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</w:p>
        </w:tc>
        <w:tc>
          <w:tcPr>
            <w:tcW w:w="1685" w:type="dxa"/>
            <w:vMerge/>
            <w:vAlign w:val="center"/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</w:p>
        </w:tc>
      </w:tr>
      <w:tr w:rsidR="002C273E" w:rsidRPr="00B449A8" w:rsidTr="0044081D">
        <w:trPr>
          <w:trHeight w:val="1155"/>
        </w:trPr>
        <w:tc>
          <w:tcPr>
            <w:tcW w:w="3233" w:type="dxa"/>
          </w:tcPr>
          <w:p w:rsidR="002C273E" w:rsidRPr="0044081D" w:rsidRDefault="002C273E" w:rsidP="0044081D">
            <w:pPr>
              <w:pStyle w:val="A-ChartHeads"/>
            </w:pPr>
            <w:r w:rsidRPr="00B449A8">
              <w:t xml:space="preserve">Assignment shows understanding of the </w:t>
            </w:r>
            <w:r w:rsidR="00285959">
              <w:t xml:space="preserve">following </w:t>
            </w:r>
            <w:r w:rsidRPr="00B449A8">
              <w:t>concept</w:t>
            </w:r>
            <w:r w:rsidR="00285959">
              <w:t>:</w:t>
            </w:r>
            <w:r>
              <w:t xml:space="preserve"> </w:t>
            </w:r>
            <w:r w:rsidR="00AA1AE2" w:rsidRPr="00AA1AE2">
              <w:rPr>
                <w:i/>
              </w:rPr>
              <w:t>Vatican Council I produced important statements about papal infallibility and the relationship between faith and reason.</w:t>
            </w:r>
          </w:p>
        </w:tc>
        <w:tc>
          <w:tcPr>
            <w:tcW w:w="1807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55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8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42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2C273E" w:rsidRPr="00B449A8" w:rsidTr="0044081D">
        <w:trPr>
          <w:trHeight w:val="876"/>
        </w:trPr>
        <w:tc>
          <w:tcPr>
            <w:tcW w:w="3233" w:type="dxa"/>
          </w:tcPr>
          <w:p w:rsidR="002C273E" w:rsidRPr="00B449A8" w:rsidRDefault="002C273E" w:rsidP="0044081D">
            <w:pPr>
              <w:pStyle w:val="A-ChartHeads"/>
            </w:pPr>
            <w:r w:rsidRPr="00B449A8">
              <w:t>Assignment uses proper grammar and spelling.</w:t>
            </w:r>
          </w:p>
        </w:tc>
        <w:tc>
          <w:tcPr>
            <w:tcW w:w="1807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has no grammar or spelling errors.</w:t>
            </w:r>
          </w:p>
        </w:tc>
        <w:tc>
          <w:tcPr>
            <w:tcW w:w="155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has one grammar or spelling error.</w:t>
            </w:r>
          </w:p>
        </w:tc>
        <w:tc>
          <w:tcPr>
            <w:tcW w:w="168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has two grammar or spelling errors.</w:t>
            </w:r>
          </w:p>
        </w:tc>
        <w:tc>
          <w:tcPr>
            <w:tcW w:w="1425" w:type="dxa"/>
          </w:tcPr>
          <w:p w:rsidR="002C273E" w:rsidRPr="00B449A8" w:rsidRDefault="002C273E" w:rsidP="0044081D">
            <w:pPr>
              <w:pStyle w:val="A-ChartText"/>
            </w:pPr>
            <w:r w:rsidRPr="00B449A8">
              <w:t>Assignment has multiple grammar or spelling errors.</w:t>
            </w:r>
          </w:p>
        </w:tc>
      </w:tr>
      <w:tr w:rsidR="002C273E" w:rsidRPr="00B449A8" w:rsidTr="0044081D">
        <w:trPr>
          <w:trHeight w:val="885"/>
        </w:trPr>
        <w:tc>
          <w:tcPr>
            <w:tcW w:w="3233" w:type="dxa"/>
            <w:tcBorders>
              <w:bottom w:val="single" w:sz="4" w:space="0" w:color="auto"/>
            </w:tcBorders>
          </w:tcPr>
          <w:p w:rsidR="002C273E" w:rsidRPr="00B449A8" w:rsidRDefault="002C273E" w:rsidP="0044081D">
            <w:pPr>
              <w:pStyle w:val="A-ChartHeads"/>
              <w:rPr>
                <w:rFonts w:cs="Times New Roman"/>
              </w:rPr>
            </w:pPr>
            <w:r>
              <w:t>The presentation of the assignment is effective.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</w:t>
            </w:r>
            <w:r w:rsidRPr="00B449A8">
              <w:t>s organized, clear, and engaging</w:t>
            </w:r>
            <w:r>
              <w:t>.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clear and engaging.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is clear but not well organized</w:t>
            </w:r>
            <w:r w:rsidRPr="00B449A8">
              <w:t xml:space="preserve"> and not engaging</w:t>
            </w:r>
            <w:r>
              <w:t>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2C273E" w:rsidRPr="00B449A8" w:rsidRDefault="002C273E" w:rsidP="0044081D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disorganized, unclear, and boring.</w:t>
            </w:r>
          </w:p>
        </w:tc>
      </w:tr>
    </w:tbl>
    <w:p w:rsidR="002C273E" w:rsidRPr="006515F4" w:rsidRDefault="002C273E" w:rsidP="002C273E"/>
    <w:sectPr w:rsidR="002C273E" w:rsidRPr="006515F4" w:rsidSect="00440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0F" w:rsidRDefault="0013340F" w:rsidP="002C273E">
      <w:r>
        <w:separator/>
      </w:r>
    </w:p>
    <w:p w:rsidR="0013340F" w:rsidRDefault="0013340F"/>
  </w:endnote>
  <w:endnote w:type="continuationSeparator" w:id="0">
    <w:p w:rsidR="0013340F" w:rsidRDefault="0013340F" w:rsidP="002C273E">
      <w:r>
        <w:continuationSeparator/>
      </w:r>
    </w:p>
    <w:p w:rsidR="0013340F" w:rsidRDefault="001334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1D" w:rsidRDefault="004408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3E" w:rsidRPr="00F82D2A" w:rsidRDefault="00AC4F16" w:rsidP="002C273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2C273E" w:rsidRPr="00356006" w:rsidRDefault="002C273E" w:rsidP="002C273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E56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E565D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2C273E" w:rsidRPr="000318AE" w:rsidRDefault="002C273E" w:rsidP="002C273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56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TX002977</w:t>
                </w:r>
              </w:p>
              <w:p w:rsidR="002C273E" w:rsidRPr="000318AE" w:rsidRDefault="002C273E" w:rsidP="002C273E"/>
            </w:txbxContent>
          </v:textbox>
        </v:shape>
      </w:pict>
    </w:r>
    <w:r w:rsidR="00A04CAB">
      <w:rPr>
        <w:noProof/>
      </w:rPr>
      <w:drawing>
        <wp:inline distT="0" distB="0" distL="0" distR="0">
          <wp:extent cx="435610" cy="418465"/>
          <wp:effectExtent l="19050" t="0" r="254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418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3E" w:rsidRDefault="00AC4F1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8.15pt;z-index:251657216;visibility:visible" filled="f" stroked="f">
          <v:textbox style="mso-next-textbox:#Text Box 10">
            <w:txbxContent>
              <w:p w:rsidR="002C273E" w:rsidRPr="00356006" w:rsidRDefault="002C273E" w:rsidP="002C273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E56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E565D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2C273E" w:rsidRPr="000318AE" w:rsidRDefault="002C273E" w:rsidP="002C273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56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TX002977</w:t>
                </w:r>
              </w:p>
              <w:p w:rsidR="002C273E" w:rsidRPr="000E1ADA" w:rsidRDefault="002C273E" w:rsidP="002C273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4081D" w:rsidRPr="0044081D">
      <w:rPr>
        <w:noProof/>
      </w:rPr>
      <w:drawing>
        <wp:inline distT="0" distB="0" distL="0" distR="0">
          <wp:extent cx="450215" cy="422910"/>
          <wp:effectExtent l="19050" t="0" r="6985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0F" w:rsidRDefault="0013340F" w:rsidP="002C273E">
      <w:r>
        <w:separator/>
      </w:r>
    </w:p>
    <w:p w:rsidR="0013340F" w:rsidRDefault="0013340F"/>
  </w:footnote>
  <w:footnote w:type="continuationSeparator" w:id="0">
    <w:p w:rsidR="0013340F" w:rsidRDefault="0013340F" w:rsidP="002C273E">
      <w:r>
        <w:continuationSeparator/>
      </w:r>
    </w:p>
    <w:p w:rsidR="0013340F" w:rsidRDefault="001334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1D" w:rsidRDefault="004408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3E" w:rsidRDefault="002C273E" w:rsidP="002C273E">
    <w:pPr>
      <w:pStyle w:val="A-Header-articletitlepage2"/>
      <w:rPr>
        <w:rFonts w:cs="Times New Roman"/>
      </w:rPr>
    </w:pPr>
    <w:r w:rsidRPr="009E4250">
      <w:t xml:space="preserve">Rubric for Final Performance Tasks for Unit </w:t>
    </w:r>
    <w:r w:rsidR="006E565D">
      <w:t>6</w:t>
    </w:r>
    <w:r>
      <w:rPr>
        <w:rFonts w:cs="Times New Roman"/>
      </w:rPr>
      <w:tab/>
    </w:r>
    <w:r w:rsidRPr="00F82D2A">
      <w:t xml:space="preserve">Page | </w:t>
    </w:r>
    <w:r w:rsidR="00AC4F16">
      <w:fldChar w:fldCharType="begin"/>
    </w:r>
    <w:r>
      <w:instrText xml:space="preserve"> PAGE   \* MERGEFORMAT </w:instrText>
    </w:r>
    <w:r w:rsidR="00AC4F16">
      <w:fldChar w:fldCharType="separate"/>
    </w:r>
    <w:r w:rsidR="0044081D">
      <w:rPr>
        <w:noProof/>
      </w:rPr>
      <w:t>2</w:t>
    </w:r>
    <w:r w:rsidR="00AC4F16">
      <w:fldChar w:fldCharType="end"/>
    </w:r>
  </w:p>
  <w:p w:rsidR="002C273E" w:rsidRDefault="002C273E"/>
  <w:p w:rsidR="002C273E" w:rsidRDefault="002C273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73E" w:rsidRPr="003E24F6" w:rsidRDefault="006E565D" w:rsidP="002C273E">
    <w:pPr>
      <w:pStyle w:val="A-Header-coursetitlesubtitlepage1"/>
      <w:rPr>
        <w:rFonts w:cs="Times New Roman"/>
      </w:rPr>
    </w:pPr>
    <w:r w:rsidRPr="006E565D"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3">
    <w:nsid w:val="380C6D16"/>
    <w:multiLevelType w:val="hybridMultilevel"/>
    <w:tmpl w:val="42481B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65E97135"/>
    <w:multiLevelType w:val="hybridMultilevel"/>
    <w:tmpl w:val="BEA44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77A67"/>
    <w:multiLevelType w:val="hybridMultilevel"/>
    <w:tmpl w:val="40CAEC7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8"/>
  </w:num>
  <w:num w:numId="20">
    <w:abstractNumId w:val="13"/>
  </w:num>
  <w:num w:numId="21">
    <w:abstractNumId w:val="21"/>
  </w:num>
  <w:num w:numId="22">
    <w:abstractNumId w:val="23"/>
  </w:num>
  <w:num w:numId="23">
    <w:abstractNumId w:val="11"/>
  </w:num>
  <w:num w:numId="24">
    <w:abstractNumId w:val="2"/>
  </w:num>
  <w:num w:numId="25">
    <w:abstractNumId w:val="3"/>
  </w:num>
  <w:num w:numId="26">
    <w:abstractNumId w:val="1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13249D"/>
    <w:rsid w:val="0013340F"/>
    <w:rsid w:val="001A5114"/>
    <w:rsid w:val="00285959"/>
    <w:rsid w:val="002C273E"/>
    <w:rsid w:val="0044081D"/>
    <w:rsid w:val="00445684"/>
    <w:rsid w:val="004A2821"/>
    <w:rsid w:val="00500FAD"/>
    <w:rsid w:val="006E565D"/>
    <w:rsid w:val="00A04CAB"/>
    <w:rsid w:val="00A145CE"/>
    <w:rsid w:val="00A97C55"/>
    <w:rsid w:val="00AA1AE2"/>
    <w:rsid w:val="00AC4F16"/>
    <w:rsid w:val="00B86473"/>
    <w:rsid w:val="00D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44081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4081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44081D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4081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44081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4081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44081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4081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44081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4081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44081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4081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44081D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4081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44081D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4081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44081D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4081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44081D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4081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4081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44081D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4081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44081D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4081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44081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4081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44081D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4081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44081D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4081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44081D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4081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44081D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44081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44081D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44081D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4081D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4081D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4081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4081D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4081D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44081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44081D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4081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4081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4081D"/>
    <w:pPr>
      <w:numPr>
        <w:numId w:val="2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4081D"/>
    <w:pPr>
      <w:numPr>
        <w:numId w:val="24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4081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4081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4081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4081D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4081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4081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4081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4081D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4081D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44081D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44081D"/>
    <w:pPr>
      <w:numPr>
        <w:numId w:val="25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AA06E1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44081D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44081D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44081D"/>
  </w:style>
  <w:style w:type="paragraph" w:customStyle="1" w:styleId="Numberedlistdoubledigits">
    <w:name w:val="Numbered list double digits"/>
    <w:basedOn w:val="text"/>
    <w:link w:val="NumberedlistdoubledigitsChar"/>
    <w:qFormat/>
    <w:rsid w:val="0044081D"/>
    <w:pPr>
      <w:numPr>
        <w:numId w:val="26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44081D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44081D"/>
    <w:pPr>
      <w:numPr>
        <w:ilvl w:val="1"/>
        <w:numId w:val="27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4408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creator>cyang</dc:creator>
  <cp:lastModifiedBy>bmartinka</cp:lastModifiedBy>
  <cp:revision>2</cp:revision>
  <cp:lastPrinted>2010-01-08T17:19:00Z</cp:lastPrinted>
  <dcterms:created xsi:type="dcterms:W3CDTF">2011-09-30T13:49:00Z</dcterms:created>
  <dcterms:modified xsi:type="dcterms:W3CDTF">2012-09-05T21:30:00Z</dcterms:modified>
</cp:coreProperties>
</file>