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BF6" w:rsidRPr="00290BF6" w:rsidRDefault="00290BF6" w:rsidP="00290BF6">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290BF6">
        <w:rPr>
          <w:rFonts w:ascii="Adobe Garamond Pro Bold" w:eastAsiaTheme="minorHAnsi" w:hAnsi="Adobe Garamond Pro Bold" w:cs="Adobe Garamond Pro Bold"/>
          <w:b/>
          <w:bCs/>
          <w:color w:val="000000"/>
          <w:sz w:val="76"/>
          <w:szCs w:val="76"/>
        </w:rPr>
        <w:t xml:space="preserve">Lesson </w:t>
      </w:r>
      <w:r w:rsidR="008B718F">
        <w:rPr>
          <w:rFonts w:ascii="Adobe Garamond Pro Bold" w:eastAsiaTheme="minorHAnsi" w:hAnsi="Adobe Garamond Pro Bold" w:cs="Adobe Garamond Pro Bold"/>
          <w:b/>
          <w:bCs/>
          <w:color w:val="000000"/>
          <w:sz w:val="76"/>
          <w:szCs w:val="76"/>
        </w:rPr>
        <w:t xml:space="preserve">Plan for Lesson </w:t>
      </w:r>
      <w:r w:rsidRPr="00290BF6">
        <w:rPr>
          <w:rFonts w:ascii="Adobe Garamond Pro Bold" w:eastAsiaTheme="minorHAnsi" w:hAnsi="Adobe Garamond Pro Bold" w:cs="Adobe Garamond Pro Bold"/>
          <w:b/>
          <w:bCs/>
          <w:color w:val="000000"/>
          <w:sz w:val="76"/>
          <w:szCs w:val="76"/>
        </w:rPr>
        <w:t>23</w:t>
      </w:r>
    </w:p>
    <w:p w:rsidR="00290BF6" w:rsidRPr="00290BF6" w:rsidRDefault="00290BF6" w:rsidP="00290BF6">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290BF6">
        <w:rPr>
          <w:rFonts w:ascii="Adobe Garamond Pro Bold" w:eastAsiaTheme="minorHAnsi" w:hAnsi="Adobe Garamond Pro Bold" w:cs="Adobe Garamond Pro Bold"/>
          <w:b/>
          <w:bCs/>
          <w:color w:val="000000"/>
          <w:sz w:val="50"/>
          <w:szCs w:val="50"/>
        </w:rPr>
        <w:t>Introduction to Christian Morality</w:t>
      </w:r>
    </w:p>
    <w:p w:rsidR="00290BF6" w:rsidRPr="00290BF6" w:rsidRDefault="00290BF6" w:rsidP="00290BF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290BF6">
        <w:rPr>
          <w:rFonts w:ascii="Adobe Garamond Pro Bold" w:eastAsiaTheme="minorHAnsi" w:hAnsi="Adobe Garamond Pro Bold" w:cs="Adobe Garamond Pro Bold"/>
          <w:b/>
          <w:bCs/>
          <w:color w:val="000000"/>
          <w:sz w:val="28"/>
          <w:szCs w:val="28"/>
        </w:rPr>
        <w:t>Preparation and Supplies</w:t>
      </w:r>
    </w:p>
    <w:p w:rsidR="00290BF6" w:rsidRPr="00290BF6" w:rsidRDefault="00290BF6" w:rsidP="00290BF6">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290BF6">
        <w:rPr>
          <w:rFonts w:ascii="Adobe Garamond Pro" w:eastAsiaTheme="minorHAnsi" w:hAnsi="Adobe Garamond Pro" w:cs="Adobe Garamond Pro"/>
          <w:color w:val="000000"/>
          <w:sz w:val="23"/>
          <w:szCs w:val="23"/>
        </w:rPr>
        <w:t>•</w:t>
      </w:r>
      <w:r w:rsidRPr="00290BF6">
        <w:rPr>
          <w:rFonts w:ascii="Adobe Garamond Pro" w:eastAsiaTheme="minorHAnsi" w:hAnsi="Adobe Garamond Pro" w:cs="Adobe Garamond Pro"/>
          <w:color w:val="000000"/>
          <w:sz w:val="23"/>
          <w:szCs w:val="23"/>
        </w:rPr>
        <w:tab/>
        <w:t>Study chapter 23, “Introduction to Christian Morality,” in the handbook.</w:t>
      </w:r>
    </w:p>
    <w:p w:rsidR="00290BF6" w:rsidRPr="00290BF6" w:rsidRDefault="00290BF6" w:rsidP="00290BF6">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290BF6">
        <w:rPr>
          <w:rFonts w:ascii="Adobe Garamond Pro" w:eastAsiaTheme="minorHAnsi" w:hAnsi="Adobe Garamond Pro" w:cs="Adobe Garamond Pro"/>
          <w:color w:val="000000"/>
          <w:sz w:val="23"/>
          <w:szCs w:val="23"/>
        </w:rPr>
        <w:t>•</w:t>
      </w:r>
      <w:r w:rsidRPr="00290BF6">
        <w:rPr>
          <w:rFonts w:ascii="Adobe Garamond Pro" w:eastAsiaTheme="minorHAnsi" w:hAnsi="Adobe Garamond Pro" w:cs="Adobe Garamond Pro"/>
          <w:color w:val="000000"/>
          <w:sz w:val="23"/>
          <w:szCs w:val="23"/>
        </w:rPr>
        <w:tab/>
        <w:t xml:space="preserve">Make copies of the handout “Morally Good or Morally Suspect?” (Document #: </w:t>
      </w:r>
      <w:r w:rsidRPr="00290BF6">
        <w:rPr>
          <w:rFonts w:ascii="Adobe Garamond Pro" w:eastAsiaTheme="minorHAnsi" w:hAnsi="Adobe Garamond Pro" w:cs="Adobe Garamond Pro"/>
          <w:color w:val="000000"/>
          <w:sz w:val="23"/>
          <w:szCs w:val="23"/>
        </w:rPr>
        <w:br/>
      </w:r>
      <w:r w:rsidRPr="00290BF6">
        <w:rPr>
          <w:rFonts w:ascii="Adobe Garamond Pro" w:eastAsiaTheme="minorHAnsi" w:hAnsi="Adobe Garamond Pro" w:cs="Adobe Garamond Pro"/>
          <w:color w:val="000000"/>
          <w:sz w:val="23"/>
          <w:szCs w:val="23"/>
        </w:rPr>
        <w:tab/>
        <w:t>TX003405), one for each small group.</w:t>
      </w:r>
    </w:p>
    <w:p w:rsidR="00290BF6" w:rsidRPr="00290BF6" w:rsidRDefault="00290BF6" w:rsidP="00290BF6">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290BF6">
        <w:rPr>
          <w:rFonts w:ascii="Adobe Garamond Pro" w:eastAsiaTheme="minorHAnsi" w:hAnsi="Adobe Garamond Pro" w:cs="Adobe Garamond Pro"/>
          <w:color w:val="000000"/>
          <w:sz w:val="23"/>
          <w:szCs w:val="23"/>
        </w:rPr>
        <w:t>•</w:t>
      </w:r>
      <w:r w:rsidRPr="00290BF6">
        <w:rPr>
          <w:rFonts w:ascii="Adobe Garamond Pro" w:eastAsiaTheme="minorHAnsi" w:hAnsi="Adobe Garamond Pro" w:cs="Adobe Garamond Pro"/>
          <w:color w:val="000000"/>
          <w:sz w:val="23"/>
          <w:szCs w:val="23"/>
        </w:rPr>
        <w:tab/>
        <w:t>Have a Bible available.</w:t>
      </w:r>
    </w:p>
    <w:p w:rsidR="00290BF6" w:rsidRPr="00290BF6" w:rsidRDefault="00290BF6" w:rsidP="00290BF6">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290BF6">
        <w:rPr>
          <w:rFonts w:ascii="Adobe Garamond Pro" w:eastAsiaTheme="minorHAnsi" w:hAnsi="Adobe Garamond Pro" w:cs="Adobe Garamond Pro"/>
          <w:color w:val="000000"/>
          <w:sz w:val="23"/>
          <w:szCs w:val="23"/>
        </w:rPr>
        <w:t>•</w:t>
      </w:r>
      <w:r w:rsidRPr="00290BF6">
        <w:rPr>
          <w:rFonts w:ascii="Adobe Garamond Pro" w:eastAsiaTheme="minorHAnsi" w:hAnsi="Adobe Garamond Pro" w:cs="Adobe Garamond Pro"/>
          <w:color w:val="000000"/>
          <w:sz w:val="23"/>
          <w:szCs w:val="23"/>
        </w:rPr>
        <w:tab/>
        <w:t xml:space="preserve">Prepare three sheets of newsprint to display, each with one of the following headings written </w:t>
      </w:r>
      <w:r w:rsidRPr="00290BF6">
        <w:rPr>
          <w:rFonts w:ascii="Adobe Garamond Pro" w:eastAsiaTheme="minorHAnsi" w:hAnsi="Adobe Garamond Pro" w:cs="Adobe Garamond Pro"/>
          <w:color w:val="000000"/>
          <w:sz w:val="23"/>
          <w:szCs w:val="23"/>
        </w:rPr>
        <w:br/>
      </w:r>
      <w:r w:rsidRPr="00290BF6">
        <w:rPr>
          <w:rFonts w:ascii="Adobe Garamond Pro" w:eastAsiaTheme="minorHAnsi" w:hAnsi="Adobe Garamond Pro" w:cs="Adobe Garamond Pro"/>
          <w:color w:val="000000"/>
          <w:sz w:val="23"/>
          <w:szCs w:val="23"/>
        </w:rPr>
        <w:tab/>
        <w:t xml:space="preserve">at the top: “Action,” “Intent,” and “Circumstances.” Then write the following questions </w:t>
      </w:r>
      <w:r w:rsidRPr="00290BF6">
        <w:rPr>
          <w:rFonts w:ascii="Adobe Garamond Pro" w:eastAsiaTheme="minorHAnsi" w:hAnsi="Adobe Garamond Pro" w:cs="Adobe Garamond Pro"/>
          <w:color w:val="000000"/>
          <w:sz w:val="23"/>
          <w:szCs w:val="23"/>
        </w:rPr>
        <w:br/>
      </w:r>
      <w:r w:rsidRPr="00290BF6">
        <w:rPr>
          <w:rFonts w:ascii="Adobe Garamond Pro" w:eastAsiaTheme="minorHAnsi" w:hAnsi="Adobe Garamond Pro" w:cs="Adobe Garamond Pro"/>
          <w:color w:val="000000"/>
          <w:sz w:val="23"/>
          <w:szCs w:val="23"/>
        </w:rPr>
        <w:tab/>
        <w:t>under each heading:</w:t>
      </w:r>
    </w:p>
    <w:p w:rsidR="00290BF6" w:rsidRPr="004C2DA2" w:rsidRDefault="00290BF6" w:rsidP="004C2DA2">
      <w:pPr>
        <w:pStyle w:val="ListParagraph"/>
        <w:numPr>
          <w:ilvl w:val="0"/>
          <w:numId w:val="36"/>
        </w:numPr>
        <w:tabs>
          <w:tab w:val="left" w:pos="400"/>
          <w:tab w:val="left" w:pos="78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4C2DA2">
        <w:rPr>
          <w:rFonts w:ascii="Adobe Garamond Pro" w:eastAsiaTheme="minorHAnsi" w:hAnsi="Adobe Garamond Pro" w:cs="Adobe Garamond Pro"/>
          <w:color w:val="000000"/>
          <w:sz w:val="23"/>
          <w:szCs w:val="23"/>
        </w:rPr>
        <w:t xml:space="preserve">Under “Action” write: Does this action promote well-being for me and for others? </w:t>
      </w:r>
      <w:r w:rsidRPr="004C2DA2">
        <w:rPr>
          <w:rFonts w:ascii="Adobe Garamond Pro" w:eastAsiaTheme="minorHAnsi" w:hAnsi="Adobe Garamond Pro" w:cs="Adobe Garamond Pro"/>
          <w:color w:val="000000"/>
          <w:sz w:val="23"/>
          <w:szCs w:val="23"/>
        </w:rPr>
        <w:br/>
      </w:r>
      <w:r w:rsidRPr="004C2DA2">
        <w:rPr>
          <w:rFonts w:ascii="Adobe Garamond Pro" w:eastAsiaTheme="minorHAnsi" w:hAnsi="Adobe Garamond Pro" w:cs="Adobe Garamond Pro"/>
          <w:color w:val="000000"/>
          <w:sz w:val="23"/>
          <w:szCs w:val="23"/>
        </w:rPr>
        <w:tab/>
        <w:t>Does the action show respect for God, for me, and for others?</w:t>
      </w:r>
    </w:p>
    <w:p w:rsidR="00290BF6" w:rsidRPr="004C2DA2" w:rsidRDefault="00290BF6" w:rsidP="004C2DA2">
      <w:pPr>
        <w:pStyle w:val="ListParagraph"/>
        <w:numPr>
          <w:ilvl w:val="0"/>
          <w:numId w:val="36"/>
        </w:numPr>
        <w:tabs>
          <w:tab w:val="left" w:pos="400"/>
          <w:tab w:val="left" w:pos="78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4C2DA2">
        <w:rPr>
          <w:rFonts w:ascii="Adobe Garamond Pro" w:eastAsiaTheme="minorHAnsi" w:hAnsi="Adobe Garamond Pro" w:cs="Adobe Garamond Pro"/>
          <w:color w:val="000000"/>
          <w:sz w:val="23"/>
          <w:szCs w:val="23"/>
        </w:rPr>
        <w:t xml:space="preserve">Under “Intent” write: What do you hope to accomplish by making this choice? What </w:t>
      </w:r>
      <w:r w:rsidRPr="004C2DA2">
        <w:rPr>
          <w:rFonts w:ascii="Adobe Garamond Pro" w:eastAsiaTheme="minorHAnsi" w:hAnsi="Adobe Garamond Pro" w:cs="Adobe Garamond Pro"/>
          <w:color w:val="000000"/>
          <w:sz w:val="23"/>
          <w:szCs w:val="23"/>
        </w:rPr>
        <w:br/>
      </w:r>
      <w:r w:rsidRPr="004C2DA2">
        <w:rPr>
          <w:rFonts w:ascii="Adobe Garamond Pro" w:eastAsiaTheme="minorHAnsi" w:hAnsi="Adobe Garamond Pro" w:cs="Adobe Garamond Pro"/>
          <w:color w:val="000000"/>
          <w:sz w:val="23"/>
          <w:szCs w:val="23"/>
        </w:rPr>
        <w:tab/>
        <w:t xml:space="preserve">is the underlying “good” you are trying to achieve? Does that good reflect what God </w:t>
      </w:r>
      <w:r w:rsidRPr="004C2DA2">
        <w:rPr>
          <w:rFonts w:ascii="Adobe Garamond Pro" w:eastAsiaTheme="minorHAnsi" w:hAnsi="Adobe Garamond Pro" w:cs="Adobe Garamond Pro"/>
          <w:color w:val="000000"/>
          <w:sz w:val="23"/>
          <w:szCs w:val="23"/>
        </w:rPr>
        <w:br/>
      </w:r>
      <w:r w:rsidRPr="004C2DA2">
        <w:rPr>
          <w:rFonts w:ascii="Adobe Garamond Pro" w:eastAsiaTheme="minorHAnsi" w:hAnsi="Adobe Garamond Pro" w:cs="Adobe Garamond Pro"/>
          <w:color w:val="000000"/>
          <w:sz w:val="23"/>
          <w:szCs w:val="23"/>
        </w:rPr>
        <w:tab/>
        <w:t>wants for you?</w:t>
      </w:r>
    </w:p>
    <w:p w:rsidR="00290BF6" w:rsidRPr="004C2DA2" w:rsidRDefault="00290BF6" w:rsidP="004C2DA2">
      <w:pPr>
        <w:pStyle w:val="ListParagraph"/>
        <w:numPr>
          <w:ilvl w:val="0"/>
          <w:numId w:val="36"/>
        </w:numPr>
        <w:tabs>
          <w:tab w:val="left" w:pos="400"/>
          <w:tab w:val="left" w:pos="78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4C2DA2">
        <w:rPr>
          <w:rFonts w:ascii="Adobe Garamond Pro" w:eastAsiaTheme="minorHAnsi" w:hAnsi="Adobe Garamond Pro" w:cs="Adobe Garamond Pro"/>
          <w:color w:val="000000"/>
          <w:sz w:val="23"/>
          <w:szCs w:val="23"/>
        </w:rPr>
        <w:t xml:space="preserve">Under “Circumstances” write: What influences are causing you to consider this </w:t>
      </w:r>
      <w:r w:rsidRPr="004C2DA2">
        <w:rPr>
          <w:rFonts w:ascii="Adobe Garamond Pro" w:eastAsiaTheme="minorHAnsi" w:hAnsi="Adobe Garamond Pro" w:cs="Adobe Garamond Pro"/>
          <w:color w:val="000000"/>
          <w:sz w:val="23"/>
          <w:szCs w:val="23"/>
        </w:rPr>
        <w:br/>
      </w:r>
      <w:r w:rsidRPr="004C2DA2">
        <w:rPr>
          <w:rFonts w:ascii="Adobe Garamond Pro" w:eastAsiaTheme="minorHAnsi" w:hAnsi="Adobe Garamond Pro" w:cs="Adobe Garamond Pro"/>
          <w:color w:val="000000"/>
          <w:sz w:val="23"/>
          <w:szCs w:val="23"/>
        </w:rPr>
        <w:tab/>
        <w:t>action? How free are you to choose not to do it?</w:t>
      </w:r>
    </w:p>
    <w:p w:rsidR="00290BF6" w:rsidRPr="00290BF6" w:rsidRDefault="00290BF6" w:rsidP="00290BF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290BF6">
        <w:rPr>
          <w:rFonts w:ascii="Adobe Garamond Pro Bold" w:eastAsiaTheme="minorHAnsi" w:hAnsi="Adobe Garamond Pro Bold" w:cs="Adobe Garamond Pro Bold"/>
          <w:b/>
          <w:bCs/>
          <w:color w:val="000000"/>
          <w:sz w:val="34"/>
          <w:szCs w:val="34"/>
        </w:rPr>
        <w:t xml:space="preserve">Pray It! </w:t>
      </w:r>
      <w:r w:rsidRPr="00290BF6">
        <w:rPr>
          <w:rFonts w:ascii="Adobe Garamond Pro Bold" w:eastAsiaTheme="minorHAnsi" w:hAnsi="Adobe Garamond Pro Bold" w:cs="Adobe Garamond Pro Bold"/>
          <w:b/>
          <w:bCs/>
          <w:color w:val="000000"/>
          <w:sz w:val="28"/>
          <w:szCs w:val="28"/>
        </w:rPr>
        <w:t>(5 minutes)</w:t>
      </w:r>
    </w:p>
    <w:p w:rsidR="00290BF6" w:rsidRPr="00290BF6" w:rsidRDefault="00290BF6" w:rsidP="00290BF6">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290BF6">
        <w:rPr>
          <w:rFonts w:ascii="Adobe Garamond Pro Bold" w:eastAsiaTheme="minorHAnsi" w:hAnsi="Adobe Garamond Pro Bold" w:cs="Adobe Garamond Pro Bold"/>
          <w:b/>
          <w:bCs/>
          <w:color w:val="000000"/>
          <w:szCs w:val="24"/>
        </w:rPr>
        <w:t>Tell</w:t>
      </w:r>
      <w:r w:rsidRPr="00290BF6">
        <w:rPr>
          <w:rFonts w:ascii="Adobe Garamond Pro" w:eastAsiaTheme="minorHAnsi" w:hAnsi="Adobe Garamond Pro" w:cs="Adobe Garamond Pro"/>
          <w:color w:val="000000"/>
          <w:sz w:val="23"/>
          <w:szCs w:val="23"/>
        </w:rPr>
        <w:t xml:space="preserve"> the participants that class is going to begin with a passage from the Bible called the Beatitudes. It is where Jesus teaches his followers about morality. </w:t>
      </w:r>
      <w:r w:rsidRPr="00290BF6">
        <w:rPr>
          <w:rFonts w:ascii="Adobe Garamond Pro Bold" w:eastAsiaTheme="minorHAnsi" w:hAnsi="Adobe Garamond Pro Bold" w:cs="Adobe Garamond Pro Bold"/>
          <w:b/>
          <w:bCs/>
          <w:color w:val="000000"/>
          <w:szCs w:val="24"/>
        </w:rPr>
        <w:t>Select</w:t>
      </w:r>
      <w:r w:rsidRPr="00290BF6">
        <w:rPr>
          <w:rFonts w:ascii="Adobe Garamond Pro" w:eastAsiaTheme="minorHAnsi" w:hAnsi="Adobe Garamond Pro" w:cs="Adobe Garamond Pro"/>
          <w:color w:val="000000"/>
          <w:sz w:val="23"/>
          <w:szCs w:val="23"/>
        </w:rPr>
        <w:t xml:space="preserve"> a volunteer to read Matthew 5:3–12. </w:t>
      </w:r>
      <w:r w:rsidRPr="00290BF6">
        <w:rPr>
          <w:rFonts w:ascii="Adobe Garamond Pro Bold" w:eastAsiaTheme="minorHAnsi" w:hAnsi="Adobe Garamond Pro Bold" w:cs="Adobe Garamond Pro Bold"/>
          <w:b/>
          <w:bCs/>
          <w:color w:val="000000"/>
          <w:szCs w:val="24"/>
        </w:rPr>
        <w:t>Direct</w:t>
      </w:r>
      <w:r w:rsidRPr="00290BF6">
        <w:rPr>
          <w:rFonts w:ascii="Adobe Garamond Pro" w:eastAsiaTheme="minorHAnsi" w:hAnsi="Adobe Garamond Pro" w:cs="Adobe Garamond Pro"/>
          <w:color w:val="000000"/>
          <w:sz w:val="23"/>
          <w:szCs w:val="23"/>
        </w:rPr>
        <w:t xml:space="preserve"> the young people to the Pray It! “Dear God,” on page 261 in the handbook, and pray the prayer together.</w:t>
      </w:r>
    </w:p>
    <w:p w:rsidR="00290BF6" w:rsidRPr="00290BF6" w:rsidRDefault="00290BF6" w:rsidP="00290BF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290BF6">
        <w:rPr>
          <w:rFonts w:ascii="Adobe Garamond Pro Bold" w:eastAsiaTheme="minorHAnsi" w:hAnsi="Adobe Garamond Pro Bold" w:cs="Adobe Garamond Pro Bold"/>
          <w:b/>
          <w:bCs/>
          <w:color w:val="000000"/>
          <w:sz w:val="34"/>
          <w:szCs w:val="34"/>
        </w:rPr>
        <w:t xml:space="preserve">Study It! </w:t>
      </w:r>
      <w:r w:rsidRPr="00290BF6">
        <w:rPr>
          <w:rFonts w:ascii="Adobe Garamond Pro Bold" w:eastAsiaTheme="minorHAnsi" w:hAnsi="Adobe Garamond Pro Bold" w:cs="Adobe Garamond Pro Bold"/>
          <w:b/>
          <w:bCs/>
          <w:color w:val="000000"/>
          <w:sz w:val="28"/>
          <w:szCs w:val="28"/>
        </w:rPr>
        <w:t>(35 to 45 minutes, depending on your class length)</w:t>
      </w:r>
    </w:p>
    <w:p w:rsidR="00290BF6" w:rsidRPr="00290BF6" w:rsidRDefault="00290BF6" w:rsidP="00290BF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290BF6">
        <w:rPr>
          <w:rFonts w:ascii="Adobe Garamond Pro Bold" w:eastAsiaTheme="minorHAnsi" w:hAnsi="Adobe Garamond Pro Bold" w:cs="Adobe Garamond Pro Bold"/>
          <w:b/>
          <w:bCs/>
          <w:color w:val="000000"/>
          <w:sz w:val="28"/>
          <w:szCs w:val="28"/>
        </w:rPr>
        <w:t>A. Living as a Beatitude Person</w:t>
      </w:r>
    </w:p>
    <w:p w:rsidR="00290BF6" w:rsidRPr="003A132D" w:rsidRDefault="00290BF6" w:rsidP="003A132D">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3A132D">
        <w:rPr>
          <w:rFonts w:ascii="Adobe Garamond Pro Bold" w:eastAsiaTheme="minorHAnsi" w:hAnsi="Adobe Garamond Pro Bold" w:cs="Adobe Garamond Pro Bold"/>
          <w:b/>
          <w:bCs/>
          <w:color w:val="000000"/>
          <w:szCs w:val="24"/>
        </w:rPr>
        <w:t>Conduct</w:t>
      </w:r>
      <w:r w:rsidRPr="003A132D">
        <w:rPr>
          <w:rFonts w:ascii="Adobe Garamond Pro" w:eastAsiaTheme="minorHAnsi" w:hAnsi="Adobe Garamond Pro" w:cs="Adobe Garamond Pro"/>
          <w:color w:val="000000"/>
          <w:sz w:val="23"/>
          <w:szCs w:val="23"/>
        </w:rPr>
        <w:t xml:space="preserve"> a brainstorming session on the following question: What are some of the most difficult moral issues that teens face today? </w:t>
      </w:r>
      <w:r w:rsidRPr="003A132D">
        <w:rPr>
          <w:rFonts w:ascii="Adobe Garamond Pro Bold" w:eastAsiaTheme="minorHAnsi" w:hAnsi="Adobe Garamond Pro Bold" w:cs="Adobe Garamond Pro Bold"/>
          <w:b/>
          <w:bCs/>
          <w:color w:val="000000"/>
          <w:szCs w:val="24"/>
        </w:rPr>
        <w:t>Write</w:t>
      </w:r>
      <w:r w:rsidRPr="003A132D">
        <w:rPr>
          <w:rFonts w:ascii="Adobe Garamond Pro" w:eastAsiaTheme="minorHAnsi" w:hAnsi="Adobe Garamond Pro" w:cs="Adobe Garamond Pro"/>
          <w:color w:val="000000"/>
          <w:sz w:val="23"/>
          <w:szCs w:val="23"/>
        </w:rPr>
        <w:t xml:space="preserve"> the issues on the board as the participants mention them.</w:t>
      </w:r>
    </w:p>
    <w:p w:rsidR="00290BF6" w:rsidRPr="003A132D" w:rsidRDefault="00290BF6" w:rsidP="003A132D">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3A132D">
        <w:rPr>
          <w:rFonts w:ascii="Adobe Garamond Pro Bold" w:eastAsiaTheme="minorHAnsi" w:hAnsi="Adobe Garamond Pro Bold" w:cs="Adobe Garamond Pro Bold"/>
          <w:b/>
          <w:bCs/>
          <w:color w:val="000000"/>
          <w:szCs w:val="24"/>
        </w:rPr>
        <w:t>Direct</w:t>
      </w:r>
      <w:r w:rsidRPr="003A132D">
        <w:rPr>
          <w:rFonts w:ascii="Adobe Garamond Pro" w:eastAsiaTheme="minorHAnsi" w:hAnsi="Adobe Garamond Pro" w:cs="Adobe Garamond Pro"/>
          <w:color w:val="000000"/>
          <w:sz w:val="23"/>
          <w:szCs w:val="23"/>
        </w:rPr>
        <w:t xml:space="preserve"> the young people to read the chapter introduction and the section “Living as a Beatitude Person,” on pages 253–256 in the handbook. The content covers points 1 through 5 on the handout “Lesson 23 Summary” (Document #: TX003404).</w:t>
      </w:r>
    </w:p>
    <w:p w:rsidR="00290BF6" w:rsidRDefault="00290BF6" w:rsidP="003A132D">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3A132D">
        <w:rPr>
          <w:rFonts w:ascii="Adobe Garamond Pro Bold" w:eastAsiaTheme="minorHAnsi" w:hAnsi="Adobe Garamond Pro Bold" w:cs="Adobe Garamond Pro Bold"/>
          <w:b/>
          <w:bCs/>
          <w:i/>
          <w:iCs/>
          <w:color w:val="000000"/>
          <w:sz w:val="23"/>
          <w:szCs w:val="23"/>
        </w:rPr>
        <w:t xml:space="preserve">(Optional) </w:t>
      </w:r>
      <w:r w:rsidRPr="003A132D">
        <w:rPr>
          <w:rFonts w:ascii="Adobe Garamond Pro" w:eastAsiaTheme="minorHAnsi" w:hAnsi="Adobe Garamond Pro" w:cs="Adobe Garamond Pro"/>
          <w:color w:val="000000"/>
          <w:sz w:val="23"/>
          <w:szCs w:val="23"/>
        </w:rPr>
        <w:t xml:space="preserve"> </w:t>
      </w:r>
      <w:r w:rsidRPr="003A132D">
        <w:rPr>
          <w:rFonts w:ascii="Adobe Garamond Pro Bold" w:eastAsiaTheme="minorHAnsi" w:hAnsi="Adobe Garamond Pro Bold" w:cs="Adobe Garamond Pro Bold"/>
          <w:b/>
          <w:bCs/>
          <w:color w:val="000000"/>
          <w:szCs w:val="24"/>
        </w:rPr>
        <w:t>Direct</w:t>
      </w:r>
      <w:r w:rsidRPr="003A132D">
        <w:rPr>
          <w:rFonts w:ascii="Adobe Garamond Pro" w:eastAsiaTheme="minorHAnsi" w:hAnsi="Adobe Garamond Pro" w:cs="Adobe Garamond Pro"/>
          <w:color w:val="000000"/>
          <w:sz w:val="23"/>
          <w:szCs w:val="23"/>
        </w:rPr>
        <w:t xml:space="preserve"> the young people to the Reflect questions on page 256 in the handbook, and </w:t>
      </w:r>
      <w:r w:rsidRPr="003A132D">
        <w:rPr>
          <w:rFonts w:ascii="Adobe Garamond Pro Bold" w:eastAsiaTheme="minorHAnsi" w:hAnsi="Adobe Garamond Pro Bold" w:cs="Adobe Garamond Pro Bold"/>
          <w:b/>
          <w:bCs/>
          <w:color w:val="000000"/>
          <w:szCs w:val="24"/>
        </w:rPr>
        <w:t>lead</w:t>
      </w:r>
      <w:r w:rsidRPr="003A132D">
        <w:rPr>
          <w:rFonts w:ascii="Adobe Garamond Pro" w:eastAsiaTheme="minorHAnsi" w:hAnsi="Adobe Garamond Pro" w:cs="Adobe Garamond Pro"/>
          <w:color w:val="000000"/>
          <w:sz w:val="23"/>
          <w:szCs w:val="23"/>
        </w:rPr>
        <w:t xml:space="preserve"> a discussion on the questions.</w:t>
      </w:r>
    </w:p>
    <w:p w:rsidR="003A132D" w:rsidRPr="003A132D" w:rsidRDefault="003A132D" w:rsidP="003A132D">
      <w:pPr>
        <w:pStyle w:val="ListParagraph"/>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p>
    <w:p w:rsidR="00290BF6" w:rsidRPr="00290BF6" w:rsidRDefault="00290BF6" w:rsidP="00290BF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290BF6">
        <w:rPr>
          <w:rFonts w:ascii="Adobe Garamond Pro Bold" w:eastAsiaTheme="minorHAnsi" w:hAnsi="Adobe Garamond Pro Bold" w:cs="Adobe Garamond Pro Bold"/>
          <w:b/>
          <w:bCs/>
          <w:color w:val="000000"/>
          <w:sz w:val="28"/>
          <w:szCs w:val="28"/>
        </w:rPr>
        <w:lastRenderedPageBreak/>
        <w:t>B. Human Freedom and Moral Choice</w:t>
      </w:r>
    </w:p>
    <w:p w:rsidR="00290BF6" w:rsidRPr="003A132D" w:rsidRDefault="00290BF6" w:rsidP="003A132D">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3A132D">
        <w:rPr>
          <w:rFonts w:ascii="Adobe Garamond Pro Bold" w:eastAsiaTheme="minorHAnsi" w:hAnsi="Adobe Garamond Pro Bold" w:cs="Adobe Garamond Pro Bold"/>
          <w:b/>
          <w:bCs/>
          <w:color w:val="000000"/>
          <w:szCs w:val="24"/>
        </w:rPr>
        <w:t>Direct</w:t>
      </w:r>
      <w:r w:rsidRPr="003A132D">
        <w:rPr>
          <w:rFonts w:ascii="Adobe Garamond Pro" w:eastAsiaTheme="minorHAnsi" w:hAnsi="Adobe Garamond Pro" w:cs="Adobe Garamond Pro"/>
          <w:color w:val="000000"/>
          <w:sz w:val="23"/>
          <w:szCs w:val="23"/>
        </w:rPr>
        <w:t xml:space="preserve"> the participants to form groups of three or four, and have them brainstorm the qualities that a mature person might possess. Some examples are the capacity to accept failure, the ability to draw out the best in people, a sense of humor, and the acceptance of personal responsibility. You might pose a challenge to see which group can come up with the most qualities. Ask one person from each group to share the group’s list with the rest of the class.</w:t>
      </w:r>
    </w:p>
    <w:p w:rsidR="00290BF6" w:rsidRPr="003A132D" w:rsidRDefault="00290BF6" w:rsidP="003A132D">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3A132D">
        <w:rPr>
          <w:rFonts w:ascii="Adobe Garamond Pro Bold" w:eastAsiaTheme="minorHAnsi" w:hAnsi="Adobe Garamond Pro Bold" w:cs="Adobe Garamond Pro Bold"/>
          <w:b/>
          <w:bCs/>
          <w:color w:val="000000"/>
          <w:szCs w:val="24"/>
        </w:rPr>
        <w:t>Direct</w:t>
      </w:r>
      <w:r w:rsidRPr="003A132D">
        <w:rPr>
          <w:rFonts w:ascii="Adobe Garamond Pro" w:eastAsiaTheme="minorHAnsi" w:hAnsi="Adobe Garamond Pro" w:cs="Adobe Garamond Pro"/>
          <w:color w:val="000000"/>
          <w:sz w:val="23"/>
          <w:szCs w:val="23"/>
        </w:rPr>
        <w:t xml:space="preserve"> the participants to read the sections “Human Freedom and Moral Choice” and “What Makes Something </w:t>
      </w:r>
      <w:proofErr w:type="gramStart"/>
      <w:r w:rsidRPr="003A132D">
        <w:rPr>
          <w:rFonts w:ascii="Adobe Garamond Pro" w:eastAsiaTheme="minorHAnsi" w:hAnsi="Adobe Garamond Pro" w:cs="Adobe Garamond Pro"/>
          <w:color w:val="000000"/>
          <w:sz w:val="23"/>
          <w:szCs w:val="23"/>
        </w:rPr>
        <w:t>Moral</w:t>
      </w:r>
      <w:proofErr w:type="gramEnd"/>
      <w:r w:rsidRPr="003A132D">
        <w:rPr>
          <w:rFonts w:ascii="Adobe Garamond Pro" w:eastAsiaTheme="minorHAnsi" w:hAnsi="Adobe Garamond Pro" w:cs="Adobe Garamond Pro"/>
          <w:color w:val="000000"/>
          <w:sz w:val="23"/>
          <w:szCs w:val="23"/>
        </w:rPr>
        <w:t>?” on pages 257–260 in the handbook. The content covers point 6 on the handout “Lesson 23 Summary.”</w:t>
      </w:r>
    </w:p>
    <w:p w:rsidR="00290BF6" w:rsidRPr="003A132D" w:rsidRDefault="00290BF6" w:rsidP="003A132D">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3A132D">
        <w:rPr>
          <w:rFonts w:ascii="Adobe Garamond Pro Bold" w:eastAsiaTheme="minorHAnsi" w:hAnsi="Adobe Garamond Pro Bold" w:cs="Adobe Garamond Pro Bold"/>
          <w:b/>
          <w:bCs/>
          <w:i/>
          <w:iCs/>
          <w:color w:val="000000"/>
          <w:sz w:val="23"/>
          <w:szCs w:val="23"/>
        </w:rPr>
        <w:t>(Optional)</w:t>
      </w:r>
      <w:r w:rsidRPr="003A132D">
        <w:rPr>
          <w:rFonts w:ascii="Adobe Garamond Pro" w:eastAsiaTheme="minorHAnsi" w:hAnsi="Adobe Garamond Pro" w:cs="Adobe Garamond Pro"/>
          <w:color w:val="000000"/>
          <w:sz w:val="23"/>
          <w:szCs w:val="23"/>
        </w:rPr>
        <w:t xml:space="preserve">  </w:t>
      </w:r>
      <w:r w:rsidRPr="003A132D">
        <w:rPr>
          <w:rFonts w:ascii="Adobe Garamond Pro Bold" w:eastAsiaTheme="minorHAnsi" w:hAnsi="Adobe Garamond Pro Bold" w:cs="Adobe Garamond Pro Bold"/>
          <w:b/>
          <w:bCs/>
          <w:color w:val="000000"/>
          <w:szCs w:val="24"/>
        </w:rPr>
        <w:t>Direct</w:t>
      </w:r>
      <w:r w:rsidRPr="003A132D">
        <w:rPr>
          <w:rFonts w:ascii="Adobe Garamond Pro" w:eastAsiaTheme="minorHAnsi" w:hAnsi="Adobe Garamond Pro" w:cs="Adobe Garamond Pro"/>
          <w:color w:val="000000"/>
          <w:sz w:val="23"/>
          <w:szCs w:val="23"/>
        </w:rPr>
        <w:t xml:space="preserve"> the participants to form seven groups. </w:t>
      </w:r>
      <w:r w:rsidRPr="003A132D">
        <w:rPr>
          <w:rFonts w:ascii="Adobe Garamond Pro Bold" w:eastAsiaTheme="minorHAnsi" w:hAnsi="Adobe Garamond Pro Bold" w:cs="Adobe Garamond Pro Bold"/>
          <w:b/>
          <w:bCs/>
          <w:color w:val="000000"/>
          <w:szCs w:val="24"/>
        </w:rPr>
        <w:t>Assign</w:t>
      </w:r>
      <w:r w:rsidRPr="003A132D">
        <w:rPr>
          <w:rFonts w:ascii="Adobe Garamond Pro" w:eastAsiaTheme="minorHAnsi" w:hAnsi="Adobe Garamond Pro" w:cs="Adobe Garamond Pro"/>
          <w:color w:val="000000"/>
          <w:sz w:val="23"/>
          <w:szCs w:val="23"/>
        </w:rPr>
        <w:t xml:space="preserve"> each group one of the seven deadly sins listed in the Did You Know? “The Seven Deadly Sins,” on page 257 in the handbook. </w:t>
      </w:r>
      <w:r w:rsidRPr="003A132D">
        <w:rPr>
          <w:rFonts w:ascii="Adobe Garamond Pro Bold" w:eastAsiaTheme="minorHAnsi" w:hAnsi="Adobe Garamond Pro Bold" w:cs="Adobe Garamond Pro Bold"/>
          <w:b/>
          <w:bCs/>
          <w:color w:val="000000"/>
          <w:szCs w:val="24"/>
        </w:rPr>
        <w:t>Tell</w:t>
      </w:r>
      <w:r w:rsidRPr="003A132D">
        <w:rPr>
          <w:rFonts w:ascii="Adobe Garamond Pro" w:eastAsiaTheme="minorHAnsi" w:hAnsi="Adobe Garamond Pro" w:cs="Adobe Garamond Pro"/>
          <w:color w:val="000000"/>
          <w:sz w:val="23"/>
          <w:szCs w:val="23"/>
        </w:rPr>
        <w:t xml:space="preserve"> the groups to answer the question in the Reflect directions on page 256 in response to the sin they have been assigned. </w:t>
      </w:r>
      <w:r w:rsidRPr="003A132D">
        <w:rPr>
          <w:rFonts w:ascii="Adobe Garamond Pro Bold" w:eastAsiaTheme="minorHAnsi" w:hAnsi="Adobe Garamond Pro Bold" w:cs="Adobe Garamond Pro Bold"/>
          <w:b/>
          <w:bCs/>
          <w:color w:val="000000"/>
          <w:szCs w:val="24"/>
        </w:rPr>
        <w:t>Ask</w:t>
      </w:r>
      <w:r w:rsidRPr="003A132D">
        <w:rPr>
          <w:rFonts w:ascii="Adobe Garamond Pro" w:eastAsiaTheme="minorHAnsi" w:hAnsi="Adobe Garamond Pro" w:cs="Adobe Garamond Pro"/>
          <w:color w:val="000000"/>
          <w:sz w:val="23"/>
          <w:szCs w:val="23"/>
        </w:rPr>
        <w:t xml:space="preserve"> one person from each group to report the group’s results to the rest of the class. </w:t>
      </w:r>
      <w:r w:rsidRPr="003A132D">
        <w:rPr>
          <w:rFonts w:ascii="Adobe Garamond Pro Bold" w:eastAsiaTheme="minorHAnsi" w:hAnsi="Adobe Garamond Pro Bold" w:cs="Adobe Garamond Pro Bold"/>
          <w:b/>
          <w:bCs/>
          <w:color w:val="000000"/>
          <w:szCs w:val="24"/>
        </w:rPr>
        <w:t>Conduct</w:t>
      </w:r>
      <w:r w:rsidRPr="003A132D">
        <w:rPr>
          <w:rFonts w:ascii="Adobe Garamond Pro" w:eastAsiaTheme="minorHAnsi" w:hAnsi="Adobe Garamond Pro" w:cs="Adobe Garamond Pro"/>
          <w:color w:val="000000"/>
          <w:sz w:val="23"/>
          <w:szCs w:val="23"/>
        </w:rPr>
        <w:t xml:space="preserve"> a discussion on how the seven deadly sins can lead to other sins.</w:t>
      </w:r>
    </w:p>
    <w:p w:rsidR="00290BF6" w:rsidRPr="00290BF6" w:rsidRDefault="00290BF6" w:rsidP="00290BF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290BF6">
        <w:rPr>
          <w:rFonts w:ascii="Adobe Garamond Pro Bold" w:eastAsiaTheme="minorHAnsi" w:hAnsi="Adobe Garamond Pro Bold" w:cs="Adobe Garamond Pro Bold"/>
          <w:b/>
          <w:bCs/>
          <w:color w:val="000000"/>
          <w:sz w:val="28"/>
          <w:szCs w:val="28"/>
        </w:rPr>
        <w:t>C. Sin</w:t>
      </w:r>
    </w:p>
    <w:p w:rsidR="00290BF6" w:rsidRPr="00290BF6" w:rsidRDefault="00290BF6" w:rsidP="00290BF6">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290BF6">
        <w:rPr>
          <w:rFonts w:ascii="Adobe Garamond Pro Bold" w:eastAsiaTheme="minorHAnsi" w:hAnsi="Adobe Garamond Pro Bold" w:cs="Adobe Garamond Pro Bold"/>
          <w:b/>
          <w:bCs/>
          <w:color w:val="000000"/>
          <w:szCs w:val="24"/>
        </w:rPr>
        <w:t>Direct</w:t>
      </w:r>
      <w:r w:rsidRPr="00290BF6">
        <w:rPr>
          <w:rFonts w:ascii="Adobe Garamond Pro" w:eastAsiaTheme="minorHAnsi" w:hAnsi="Adobe Garamond Pro" w:cs="Adobe Garamond Pro"/>
          <w:color w:val="000000"/>
          <w:sz w:val="23"/>
          <w:szCs w:val="23"/>
        </w:rPr>
        <w:t xml:space="preserve"> students to read the section “Sin,” on pages 260–263 in the handbook. The content covers points 7 through 9 on the handout “Lesson 23 Summary.”</w:t>
      </w:r>
    </w:p>
    <w:p w:rsidR="00290BF6" w:rsidRPr="00290BF6" w:rsidRDefault="00290BF6" w:rsidP="00290BF6">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290BF6">
        <w:rPr>
          <w:rFonts w:ascii="Adobe Garamond Pro" w:eastAsiaTheme="minorHAnsi" w:hAnsi="Adobe Garamond Pro" w:cs="Adobe Garamond Pro"/>
          <w:i/>
          <w:iCs/>
          <w:color w:val="000000"/>
          <w:sz w:val="23"/>
          <w:szCs w:val="23"/>
        </w:rPr>
        <w:t xml:space="preserve">Note: </w:t>
      </w:r>
      <w:r w:rsidRPr="00290BF6">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290BF6" w:rsidRPr="00290BF6" w:rsidRDefault="00290BF6" w:rsidP="00290BF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290BF6">
        <w:rPr>
          <w:rFonts w:ascii="Adobe Garamond Pro Bold" w:eastAsiaTheme="minorHAnsi" w:hAnsi="Adobe Garamond Pro Bold" w:cs="Adobe Garamond Pro Bold"/>
          <w:b/>
          <w:bCs/>
          <w:color w:val="000000"/>
          <w:sz w:val="34"/>
          <w:szCs w:val="34"/>
        </w:rPr>
        <w:t xml:space="preserve">Live It! </w:t>
      </w:r>
      <w:r w:rsidRPr="00290BF6">
        <w:rPr>
          <w:rFonts w:ascii="Adobe Garamond Pro Bold" w:eastAsiaTheme="minorHAnsi" w:hAnsi="Adobe Garamond Pro Bold" w:cs="Adobe Garamond Pro Bold"/>
          <w:b/>
          <w:bCs/>
          <w:color w:val="000000"/>
          <w:sz w:val="28"/>
          <w:szCs w:val="28"/>
        </w:rPr>
        <w:t>(15 to 20 minutes)</w:t>
      </w:r>
    </w:p>
    <w:p w:rsidR="00290BF6" w:rsidRPr="00123C5E" w:rsidRDefault="00290BF6" w:rsidP="00123C5E">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123C5E">
        <w:rPr>
          <w:rFonts w:ascii="Adobe Garamond Pro Bold" w:eastAsiaTheme="minorHAnsi" w:hAnsi="Adobe Garamond Pro Bold" w:cs="Adobe Garamond Pro Bold"/>
          <w:b/>
          <w:bCs/>
          <w:color w:val="000000"/>
          <w:szCs w:val="24"/>
        </w:rPr>
        <w:t>Direct</w:t>
      </w:r>
      <w:r w:rsidRPr="00123C5E">
        <w:rPr>
          <w:rFonts w:ascii="Adobe Garamond Pro" w:eastAsiaTheme="minorHAnsi" w:hAnsi="Adobe Garamond Pro" w:cs="Adobe Garamond Pro"/>
          <w:color w:val="000000"/>
          <w:sz w:val="23"/>
          <w:szCs w:val="23"/>
        </w:rPr>
        <w:t xml:space="preserve"> the participants to form pairs or groups of four. </w:t>
      </w:r>
      <w:r w:rsidRPr="00123C5E">
        <w:rPr>
          <w:rFonts w:ascii="Adobe Garamond Pro Bold" w:eastAsiaTheme="minorHAnsi" w:hAnsi="Adobe Garamond Pro Bold" w:cs="Adobe Garamond Pro Bold"/>
          <w:b/>
          <w:bCs/>
          <w:color w:val="000000"/>
          <w:szCs w:val="24"/>
        </w:rPr>
        <w:t>Distribute</w:t>
      </w:r>
      <w:r w:rsidRPr="00123C5E">
        <w:rPr>
          <w:rFonts w:ascii="Adobe Garamond Pro" w:eastAsiaTheme="minorHAnsi" w:hAnsi="Adobe Garamond Pro" w:cs="Adobe Garamond Pro"/>
          <w:color w:val="000000"/>
          <w:sz w:val="23"/>
          <w:szCs w:val="23"/>
        </w:rPr>
        <w:t xml:space="preserve"> a copy of the handout “Morally Good or Morally Suspect?” (Document #: TX003405) to each pair or group of four and </w:t>
      </w:r>
      <w:r w:rsidRPr="00123C5E">
        <w:rPr>
          <w:rFonts w:ascii="Adobe Garamond Pro Bold" w:eastAsiaTheme="minorHAnsi" w:hAnsi="Adobe Garamond Pro Bold" w:cs="Adobe Garamond Pro Bold"/>
          <w:b/>
          <w:bCs/>
          <w:color w:val="000000"/>
          <w:szCs w:val="24"/>
        </w:rPr>
        <w:t>point out</w:t>
      </w:r>
      <w:r w:rsidRPr="00123C5E">
        <w:rPr>
          <w:rFonts w:ascii="Adobe Garamond Pro" w:eastAsiaTheme="minorHAnsi" w:hAnsi="Adobe Garamond Pro" w:cs="Adobe Garamond Pro"/>
          <w:color w:val="000000"/>
          <w:sz w:val="23"/>
          <w:szCs w:val="23"/>
        </w:rPr>
        <w:t xml:space="preserve"> the three sheets of newsprint you prepared earlier that you have displayed prominently in the room.</w:t>
      </w:r>
    </w:p>
    <w:p w:rsidR="00290BF6" w:rsidRPr="00290BF6" w:rsidRDefault="00290BF6" w:rsidP="00290BF6">
      <w:pPr>
        <w:tabs>
          <w:tab w:val="left" w:pos="1100"/>
        </w:tabs>
        <w:autoSpaceDE w:val="0"/>
        <w:autoSpaceDN w:val="0"/>
        <w:adjustRightInd w:val="0"/>
        <w:spacing w:after="90" w:line="290" w:lineRule="atLeast"/>
        <w:ind w:left="360"/>
        <w:textAlignment w:val="center"/>
        <w:rPr>
          <w:rFonts w:ascii="Adobe Garamond Pro" w:eastAsiaTheme="minorHAnsi" w:hAnsi="Adobe Garamond Pro" w:cs="Adobe Garamond Pro"/>
          <w:color w:val="000000"/>
          <w:sz w:val="23"/>
          <w:szCs w:val="23"/>
        </w:rPr>
      </w:pPr>
      <w:r w:rsidRPr="00290BF6">
        <w:rPr>
          <w:rFonts w:ascii="Adobe Garamond Pro Bold" w:eastAsiaTheme="minorHAnsi" w:hAnsi="Adobe Garamond Pro Bold" w:cs="Adobe Garamond Pro Bold"/>
          <w:b/>
          <w:bCs/>
          <w:color w:val="000000"/>
          <w:szCs w:val="24"/>
        </w:rPr>
        <w:t>Explain</w:t>
      </w:r>
      <w:r w:rsidRPr="00290BF6">
        <w:rPr>
          <w:rFonts w:ascii="Adobe Garamond Pro" w:eastAsiaTheme="minorHAnsi" w:hAnsi="Adobe Garamond Pro" w:cs="Adobe Garamond Pro"/>
          <w:color w:val="000000"/>
          <w:sz w:val="23"/>
          <w:szCs w:val="23"/>
        </w:rPr>
        <w:t xml:space="preserve"> the task as follows:</w:t>
      </w:r>
    </w:p>
    <w:p w:rsidR="00290BF6" w:rsidRPr="007A3BE6" w:rsidRDefault="00290BF6" w:rsidP="007A3BE6">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A3BE6">
        <w:rPr>
          <w:rFonts w:ascii="Adobe Garamond Pro" w:eastAsiaTheme="minorHAnsi" w:hAnsi="Adobe Garamond Pro" w:cs="Adobe Garamond Pro"/>
          <w:color w:val="000000"/>
          <w:sz w:val="23"/>
          <w:szCs w:val="23"/>
        </w:rPr>
        <w:t>The goal is to explore whether particular activities are moral, based on an analysis of the three factors that determine the morality of any human action: the action itself, the intent, and the circumstances.</w:t>
      </w:r>
    </w:p>
    <w:p w:rsidR="00290BF6" w:rsidRPr="007A3BE6" w:rsidRDefault="00290BF6" w:rsidP="007A3BE6">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A3BE6">
        <w:rPr>
          <w:rFonts w:ascii="Adobe Garamond Pro" w:eastAsiaTheme="minorHAnsi" w:hAnsi="Adobe Garamond Pro" w:cs="Adobe Garamond Pro"/>
          <w:color w:val="000000"/>
          <w:sz w:val="23"/>
          <w:szCs w:val="23"/>
        </w:rPr>
        <w:t>The handout presents a series of moral dilemmas. You have an opportunity to decide whether the action is good, neutral, or bad; whether the intent is good; and whether any circumstances limit the freedom to decide whether to do the action.</w:t>
      </w:r>
    </w:p>
    <w:p w:rsidR="00290BF6" w:rsidRPr="007A3BE6" w:rsidRDefault="00290BF6" w:rsidP="007A3BE6">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A3BE6">
        <w:rPr>
          <w:rFonts w:ascii="Adobe Garamond Pro" w:eastAsiaTheme="minorHAnsi" w:hAnsi="Adobe Garamond Pro" w:cs="Adobe Garamond Pro"/>
          <w:color w:val="000000"/>
          <w:sz w:val="23"/>
          <w:szCs w:val="23"/>
        </w:rPr>
        <w:t>The questions on the sheets of newsprint will help you to make these determinations.</w:t>
      </w:r>
    </w:p>
    <w:p w:rsidR="00290BF6" w:rsidRPr="00290BF6" w:rsidRDefault="00290BF6" w:rsidP="00290BF6">
      <w:pPr>
        <w:tabs>
          <w:tab w:val="left" w:pos="1100"/>
        </w:tabs>
        <w:autoSpaceDE w:val="0"/>
        <w:autoSpaceDN w:val="0"/>
        <w:adjustRightInd w:val="0"/>
        <w:spacing w:before="90" w:after="90" w:line="290" w:lineRule="atLeast"/>
        <w:ind w:left="360"/>
        <w:textAlignment w:val="center"/>
        <w:rPr>
          <w:rFonts w:ascii="Adobe Garamond Pro" w:eastAsiaTheme="minorHAnsi" w:hAnsi="Adobe Garamond Pro" w:cs="Adobe Garamond Pro"/>
          <w:color w:val="000000"/>
          <w:sz w:val="23"/>
          <w:szCs w:val="23"/>
        </w:rPr>
      </w:pPr>
      <w:r w:rsidRPr="00290BF6">
        <w:rPr>
          <w:rFonts w:ascii="Adobe Garamond Pro Bold" w:eastAsiaTheme="minorHAnsi" w:hAnsi="Adobe Garamond Pro Bold" w:cs="Adobe Garamond Pro Bold"/>
          <w:b/>
          <w:bCs/>
          <w:color w:val="000000"/>
          <w:szCs w:val="24"/>
        </w:rPr>
        <w:t>Walk</w:t>
      </w:r>
      <w:r w:rsidRPr="00290BF6">
        <w:rPr>
          <w:rFonts w:ascii="Adobe Garamond Pro" w:eastAsiaTheme="minorHAnsi" w:hAnsi="Adobe Garamond Pro" w:cs="Adobe Garamond Pro"/>
          <w:color w:val="000000"/>
          <w:sz w:val="23"/>
          <w:szCs w:val="23"/>
        </w:rPr>
        <w:t xml:space="preserve"> the participants through the first question to set an example of how they will need to proceed.</w:t>
      </w:r>
    </w:p>
    <w:p w:rsidR="00290BF6" w:rsidRPr="00DF1861" w:rsidRDefault="00290BF6" w:rsidP="00DF1861">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bookmarkStart w:id="0" w:name="_GoBack"/>
      <w:r w:rsidRPr="00DF1861">
        <w:rPr>
          <w:rFonts w:ascii="Adobe Garamond Pro" w:eastAsiaTheme="minorHAnsi" w:hAnsi="Adobe Garamond Pro" w:cs="Adobe Garamond Pro"/>
          <w:color w:val="000000"/>
          <w:sz w:val="23"/>
          <w:szCs w:val="23"/>
        </w:rPr>
        <w:t xml:space="preserve">When the groups have completed the handout, </w:t>
      </w:r>
      <w:r w:rsidRPr="00DF1861">
        <w:rPr>
          <w:rFonts w:ascii="Adobe Garamond Pro Bold" w:eastAsiaTheme="minorHAnsi" w:hAnsi="Adobe Garamond Pro Bold" w:cs="Adobe Garamond Pro Bold"/>
          <w:b/>
          <w:bCs/>
          <w:color w:val="000000"/>
          <w:szCs w:val="24"/>
        </w:rPr>
        <w:t>discuss</w:t>
      </w:r>
      <w:r w:rsidRPr="00DF1861">
        <w:rPr>
          <w:rFonts w:ascii="Adobe Garamond Pro" w:eastAsiaTheme="minorHAnsi" w:hAnsi="Adobe Garamond Pro" w:cs="Adobe Garamond Pro"/>
          <w:color w:val="000000"/>
          <w:sz w:val="23"/>
          <w:szCs w:val="23"/>
        </w:rPr>
        <w:t xml:space="preserve"> each question as a class. If the groups don’t agree on the analysis of a particular situation, </w:t>
      </w:r>
      <w:r w:rsidRPr="00DF1861">
        <w:rPr>
          <w:rFonts w:ascii="Adobe Garamond Pro Bold" w:eastAsiaTheme="minorHAnsi" w:hAnsi="Adobe Garamond Pro Bold" w:cs="Adobe Garamond Pro Bold"/>
          <w:b/>
          <w:bCs/>
          <w:color w:val="000000"/>
          <w:szCs w:val="24"/>
        </w:rPr>
        <w:t>talk</w:t>
      </w:r>
      <w:r w:rsidRPr="00DF1861">
        <w:rPr>
          <w:rFonts w:ascii="Adobe Garamond Pro" w:eastAsiaTheme="minorHAnsi" w:hAnsi="Adobe Garamond Pro" w:cs="Adobe Garamond Pro"/>
          <w:color w:val="000000"/>
          <w:sz w:val="23"/>
          <w:szCs w:val="23"/>
        </w:rPr>
        <w:t xml:space="preserve"> through the differences. Then have the class determine whether the person should do the act. Consider asking the participants for alternative actions if they determine that the person should not do the act. </w:t>
      </w:r>
      <w:r w:rsidRPr="00DF1861">
        <w:rPr>
          <w:rFonts w:ascii="Adobe Garamond Pro Bold" w:eastAsiaTheme="minorHAnsi" w:hAnsi="Adobe Garamond Pro Bold" w:cs="Adobe Garamond Pro Bold"/>
          <w:b/>
          <w:bCs/>
          <w:color w:val="000000"/>
          <w:szCs w:val="24"/>
        </w:rPr>
        <w:t>Refer to</w:t>
      </w:r>
      <w:r w:rsidRPr="00DF1861">
        <w:rPr>
          <w:rFonts w:ascii="Adobe Garamond Pro" w:eastAsiaTheme="minorHAnsi" w:hAnsi="Adobe Garamond Pro" w:cs="Adobe Garamond Pro"/>
          <w:color w:val="000000"/>
          <w:sz w:val="23"/>
          <w:szCs w:val="23"/>
        </w:rPr>
        <w:t xml:space="preserve"> the questions on the newsprint as necessary.</w:t>
      </w:r>
    </w:p>
    <w:p w:rsidR="00290BF6" w:rsidRPr="00DF1861" w:rsidRDefault="00290BF6" w:rsidP="00DF1861">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F1861">
        <w:rPr>
          <w:rFonts w:ascii="Adobe Garamond Pro" w:eastAsiaTheme="minorHAnsi" w:hAnsi="Adobe Garamond Pro" w:cs="Adobe Garamond Pro"/>
          <w:color w:val="000000"/>
          <w:sz w:val="23"/>
          <w:szCs w:val="23"/>
        </w:rPr>
        <w:lastRenderedPageBreak/>
        <w:t xml:space="preserve">Conclude </w:t>
      </w:r>
      <w:bookmarkEnd w:id="0"/>
      <w:r w:rsidRPr="00DF1861">
        <w:rPr>
          <w:rFonts w:ascii="Adobe Garamond Pro" w:eastAsiaTheme="minorHAnsi" w:hAnsi="Adobe Garamond Pro" w:cs="Adobe Garamond Pro"/>
          <w:color w:val="000000"/>
          <w:sz w:val="23"/>
          <w:szCs w:val="23"/>
        </w:rPr>
        <w:t xml:space="preserve">by </w:t>
      </w:r>
      <w:r w:rsidRPr="00DF1861">
        <w:rPr>
          <w:rFonts w:ascii="Adobe Garamond Pro Bold" w:eastAsiaTheme="minorHAnsi" w:hAnsi="Adobe Garamond Pro Bold" w:cs="Adobe Garamond Pro Bold"/>
          <w:b/>
          <w:bCs/>
          <w:color w:val="000000"/>
          <w:szCs w:val="24"/>
        </w:rPr>
        <w:t>reviewing</w:t>
      </w:r>
      <w:r w:rsidRPr="00DF1861">
        <w:rPr>
          <w:rFonts w:ascii="Adobe Garamond Pro" w:eastAsiaTheme="minorHAnsi" w:hAnsi="Adobe Garamond Pro" w:cs="Adobe Garamond Pro"/>
          <w:color w:val="000000"/>
          <w:sz w:val="23"/>
          <w:szCs w:val="23"/>
        </w:rPr>
        <w:t xml:space="preserve"> the last three points on the handout “Lesson 23 Summary.”</w:t>
      </w:r>
    </w:p>
    <w:p w:rsidR="00290BF6" w:rsidRPr="00290BF6" w:rsidRDefault="00290BF6" w:rsidP="00290BF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290BF6">
        <w:rPr>
          <w:rFonts w:ascii="Adobe Garamond Pro Bold" w:eastAsiaTheme="minorHAnsi" w:hAnsi="Adobe Garamond Pro Bold" w:cs="Adobe Garamond Pro Bold"/>
          <w:b/>
          <w:bCs/>
          <w:color w:val="000000"/>
          <w:sz w:val="34"/>
          <w:szCs w:val="34"/>
        </w:rPr>
        <w:t xml:space="preserve">Closing Prayer </w:t>
      </w:r>
      <w:r w:rsidRPr="00290BF6">
        <w:rPr>
          <w:rFonts w:ascii="Adobe Garamond Pro Bold" w:eastAsiaTheme="minorHAnsi" w:hAnsi="Adobe Garamond Pro Bold" w:cs="Adobe Garamond Pro Bold"/>
          <w:b/>
          <w:bCs/>
          <w:color w:val="000000"/>
          <w:sz w:val="28"/>
          <w:szCs w:val="28"/>
        </w:rPr>
        <w:t>(5 minutes)</w:t>
      </w:r>
    </w:p>
    <w:p w:rsidR="00290BF6" w:rsidRPr="00290BF6" w:rsidRDefault="00290BF6" w:rsidP="00290BF6">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290BF6">
        <w:rPr>
          <w:rFonts w:ascii="Adobe Garamond Pro" w:eastAsiaTheme="minorHAnsi" w:hAnsi="Adobe Garamond Pro" w:cs="Adobe Garamond Pro"/>
          <w:color w:val="000000"/>
          <w:sz w:val="23"/>
          <w:szCs w:val="23"/>
        </w:rPr>
        <w:t xml:space="preserve">Following any announcements, </w:t>
      </w:r>
      <w:r w:rsidRPr="00290BF6">
        <w:rPr>
          <w:rFonts w:ascii="Adobe Garamond Pro Bold" w:eastAsiaTheme="minorHAnsi" w:hAnsi="Adobe Garamond Pro Bold" w:cs="Adobe Garamond Pro Bold"/>
          <w:b/>
          <w:bCs/>
          <w:color w:val="000000"/>
          <w:szCs w:val="24"/>
        </w:rPr>
        <w:t>lead</w:t>
      </w:r>
      <w:r w:rsidRPr="00290BF6">
        <w:rPr>
          <w:rFonts w:ascii="Adobe Garamond Pro" w:eastAsiaTheme="minorHAnsi" w:hAnsi="Adobe Garamond Pro" w:cs="Adobe Garamond Pro"/>
          <w:color w:val="000000"/>
          <w:sz w:val="23"/>
          <w:szCs w:val="23"/>
        </w:rPr>
        <w:t xml:space="preserve"> the participants in an examination of conscience using the questions in the Pray It! “Examination of Conscience,” on page 256 in the handbook. </w:t>
      </w:r>
      <w:r w:rsidRPr="00290BF6">
        <w:rPr>
          <w:rFonts w:ascii="Adobe Garamond Pro Bold" w:eastAsiaTheme="minorHAnsi" w:hAnsi="Adobe Garamond Pro Bold" w:cs="Adobe Garamond Pro Bold"/>
          <w:b/>
          <w:bCs/>
          <w:color w:val="000000"/>
          <w:szCs w:val="24"/>
        </w:rPr>
        <w:t>Pause</w:t>
      </w:r>
      <w:r w:rsidRPr="00290BF6">
        <w:rPr>
          <w:rFonts w:ascii="Adobe Garamond Pro" w:eastAsiaTheme="minorHAnsi" w:hAnsi="Adobe Garamond Pro" w:cs="Adobe Garamond Pro"/>
          <w:color w:val="000000"/>
          <w:sz w:val="23"/>
          <w:szCs w:val="23"/>
        </w:rPr>
        <w:t xml:space="preserve"> after each question to give the young people time to reflect. Close by </w:t>
      </w:r>
      <w:r w:rsidRPr="00290BF6">
        <w:rPr>
          <w:rFonts w:ascii="Adobe Garamond Pro Bold" w:eastAsiaTheme="minorHAnsi" w:hAnsi="Adobe Garamond Pro Bold" w:cs="Adobe Garamond Pro Bold"/>
          <w:b/>
          <w:bCs/>
          <w:color w:val="000000"/>
          <w:szCs w:val="24"/>
        </w:rPr>
        <w:t>proclaiming</w:t>
      </w:r>
      <w:r w:rsidRPr="00290BF6">
        <w:rPr>
          <w:rFonts w:ascii="Adobe Garamond Pro" w:eastAsiaTheme="minorHAnsi" w:hAnsi="Adobe Garamond Pro" w:cs="Adobe Garamond Pro"/>
          <w:color w:val="000000"/>
          <w:sz w:val="23"/>
          <w:szCs w:val="23"/>
        </w:rPr>
        <w:t xml:space="preserve"> Ephesians 3:14–21.</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FB3" w:rsidRDefault="00966FB3" w:rsidP="004D0079">
      <w:r>
        <w:separator/>
      </w:r>
    </w:p>
    <w:p w:rsidR="00966FB3" w:rsidRDefault="00966FB3"/>
  </w:endnote>
  <w:endnote w:type="continuationSeparator" w:id="0">
    <w:p w:rsidR="00966FB3" w:rsidRDefault="00966FB3" w:rsidP="004D0079">
      <w:r>
        <w:continuationSeparator/>
      </w:r>
    </w:p>
    <w:p w:rsidR="00966FB3" w:rsidRDefault="00966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DF1861">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290BF6">
                                <w:rPr>
                                  <w:rFonts w:ascii="Arial" w:hAnsi="Arial" w:cs="Arial"/>
                                  <w:color w:val="000000"/>
                                  <w:sz w:val="18"/>
                                  <w:szCs w:val="18"/>
                                </w:rPr>
                                <w:t>315</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DF1861">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290BF6">
                          <w:rPr>
                            <w:rFonts w:ascii="Arial" w:hAnsi="Arial" w:cs="Arial"/>
                            <w:color w:val="000000"/>
                            <w:sz w:val="18"/>
                            <w:szCs w:val="18"/>
                          </w:rPr>
                          <w:t>315</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290BF6">
                            <w:rPr>
                              <w:rFonts w:ascii="Arial" w:hAnsi="Arial" w:cs="Arial"/>
                              <w:color w:val="000000"/>
                              <w:sz w:val="18"/>
                              <w:szCs w:val="18"/>
                            </w:rPr>
                            <w:t>315</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290BF6">
                      <w:rPr>
                        <w:rFonts w:ascii="Arial" w:hAnsi="Arial" w:cs="Arial"/>
                        <w:color w:val="000000"/>
                        <w:sz w:val="18"/>
                        <w:szCs w:val="18"/>
                      </w:rPr>
                      <w:t>315</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FB3" w:rsidRDefault="00966FB3" w:rsidP="004D0079">
      <w:r>
        <w:separator/>
      </w:r>
    </w:p>
    <w:p w:rsidR="00966FB3" w:rsidRDefault="00966FB3"/>
  </w:footnote>
  <w:footnote w:type="continuationSeparator" w:id="0">
    <w:p w:rsidR="00966FB3" w:rsidRDefault="00966FB3" w:rsidP="004D0079">
      <w:r>
        <w:continuationSeparator/>
      </w:r>
    </w:p>
    <w:p w:rsidR="00966FB3" w:rsidRDefault="00966F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290BF6">
      <w:t>2</w:t>
    </w:r>
    <w:r w:rsidR="00B16C5D">
      <w:t>3</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6C37395"/>
    <w:multiLevelType w:val="hybridMultilevel"/>
    <w:tmpl w:val="0C125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7A6045"/>
    <w:multiLevelType w:val="hybridMultilevel"/>
    <w:tmpl w:val="F454BE32"/>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4F5DDD"/>
    <w:multiLevelType w:val="hybridMultilevel"/>
    <w:tmpl w:val="659C7228"/>
    <w:lvl w:ilvl="0" w:tplc="04090003">
      <w:start w:val="1"/>
      <w:numFmt w:val="bullet"/>
      <w:lvlText w:val="o"/>
      <w:lvlJc w:val="left"/>
      <w:pPr>
        <w:ind w:left="1138" w:hanging="360"/>
      </w:pPr>
      <w:rPr>
        <w:rFonts w:ascii="Courier New" w:hAnsi="Courier New" w:cs="Courier New"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8">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F46C94"/>
    <w:multiLevelType w:val="hybridMultilevel"/>
    <w:tmpl w:val="5AD8A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CF64D43"/>
    <w:multiLevelType w:val="hybridMultilevel"/>
    <w:tmpl w:val="A69AD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1"/>
  </w:num>
  <w:num w:numId="3">
    <w:abstractNumId w:val="17"/>
  </w:num>
  <w:num w:numId="4">
    <w:abstractNumId w:val="23"/>
  </w:num>
  <w:num w:numId="5">
    <w:abstractNumId w:val="26"/>
  </w:num>
  <w:num w:numId="6">
    <w:abstractNumId w:val="1"/>
  </w:num>
  <w:num w:numId="7">
    <w:abstractNumId w:val="32"/>
  </w:num>
  <w:num w:numId="8">
    <w:abstractNumId w:val="6"/>
  </w:num>
  <w:num w:numId="9">
    <w:abstractNumId w:val="34"/>
  </w:num>
  <w:num w:numId="10">
    <w:abstractNumId w:val="13"/>
  </w:num>
  <w:num w:numId="11">
    <w:abstractNumId w:val="10"/>
  </w:num>
  <w:num w:numId="12">
    <w:abstractNumId w:val="30"/>
  </w:num>
  <w:num w:numId="13">
    <w:abstractNumId w:val="2"/>
  </w:num>
  <w:num w:numId="14">
    <w:abstractNumId w:val="9"/>
  </w:num>
  <w:num w:numId="15">
    <w:abstractNumId w:val="4"/>
  </w:num>
  <w:num w:numId="16">
    <w:abstractNumId w:val="5"/>
  </w:num>
  <w:num w:numId="17">
    <w:abstractNumId w:val="25"/>
  </w:num>
  <w:num w:numId="18">
    <w:abstractNumId w:val="15"/>
  </w:num>
  <w:num w:numId="19">
    <w:abstractNumId w:val="18"/>
  </w:num>
  <w:num w:numId="20">
    <w:abstractNumId w:val="28"/>
  </w:num>
  <w:num w:numId="21">
    <w:abstractNumId w:val="22"/>
  </w:num>
  <w:num w:numId="22">
    <w:abstractNumId w:val="24"/>
  </w:num>
  <w:num w:numId="23">
    <w:abstractNumId w:val="19"/>
  </w:num>
  <w:num w:numId="24">
    <w:abstractNumId w:val="36"/>
  </w:num>
  <w:num w:numId="25">
    <w:abstractNumId w:val="38"/>
  </w:num>
  <w:num w:numId="26">
    <w:abstractNumId w:val="14"/>
  </w:num>
  <w:num w:numId="27">
    <w:abstractNumId w:val="3"/>
  </w:num>
  <w:num w:numId="28">
    <w:abstractNumId w:val="12"/>
  </w:num>
  <w:num w:numId="29">
    <w:abstractNumId w:val="7"/>
  </w:num>
  <w:num w:numId="30">
    <w:abstractNumId w:val="39"/>
  </w:num>
  <w:num w:numId="31">
    <w:abstractNumId w:val="21"/>
  </w:num>
  <w:num w:numId="32">
    <w:abstractNumId w:val="0"/>
  </w:num>
  <w:num w:numId="33">
    <w:abstractNumId w:val="37"/>
  </w:num>
  <w:num w:numId="34">
    <w:abstractNumId w:val="35"/>
  </w:num>
  <w:num w:numId="35">
    <w:abstractNumId w:val="20"/>
  </w:num>
  <w:num w:numId="36">
    <w:abstractNumId w:val="27"/>
  </w:num>
  <w:num w:numId="37">
    <w:abstractNumId w:val="33"/>
  </w:num>
  <w:num w:numId="38">
    <w:abstractNumId w:val="29"/>
  </w:num>
  <w:num w:numId="39">
    <w:abstractNumId w:val="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23C5E"/>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0BF6"/>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A132D"/>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2DA2"/>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A3BE6"/>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B718F"/>
    <w:rsid w:val="008C2FC3"/>
    <w:rsid w:val="008D10BC"/>
    <w:rsid w:val="008D3370"/>
    <w:rsid w:val="008F12F7"/>
    <w:rsid w:val="008F22A0"/>
    <w:rsid w:val="008F58B2"/>
    <w:rsid w:val="009064EC"/>
    <w:rsid w:val="00933E81"/>
    <w:rsid w:val="00945A73"/>
    <w:rsid w:val="009563C5"/>
    <w:rsid w:val="00966FB3"/>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DF1861"/>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 w:type="paragraph" w:customStyle="1" w:styleId="2ndLevelBulletList">
    <w:name w:val="2nd Level Bullet List"/>
    <w:basedOn w:val="textfirstpara"/>
    <w:uiPriority w:val="99"/>
    <w:rsid w:val="00290BF6"/>
    <w:pPr>
      <w:tabs>
        <w:tab w:val="left" w:pos="780"/>
      </w:tabs>
      <w:suppressAutoHyphens/>
      <w:ind w:left="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2FF8B-15D5-4C65-919B-310FA3B2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10</cp:revision>
  <cp:lastPrinted>2010-01-08T18:19:00Z</cp:lastPrinted>
  <dcterms:created xsi:type="dcterms:W3CDTF">2015-01-22T23:24:00Z</dcterms:created>
  <dcterms:modified xsi:type="dcterms:W3CDTF">2015-01-23T21:35:00Z</dcterms:modified>
</cp:coreProperties>
</file>