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8FD" w:rsidRPr="001938FD" w:rsidRDefault="001938FD" w:rsidP="001938FD">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1938FD">
        <w:rPr>
          <w:rFonts w:ascii="Adobe Garamond Pro Bold" w:eastAsiaTheme="minorHAnsi" w:hAnsi="Adobe Garamond Pro Bold" w:cs="Adobe Garamond Pro Bold"/>
          <w:b/>
          <w:bCs/>
          <w:color w:val="000000"/>
          <w:sz w:val="76"/>
          <w:szCs w:val="76"/>
        </w:rPr>
        <w:t xml:space="preserve">Lesson </w:t>
      </w:r>
      <w:r w:rsidR="00A04EBC">
        <w:rPr>
          <w:rFonts w:ascii="Adobe Garamond Pro Bold" w:eastAsiaTheme="minorHAnsi" w:hAnsi="Adobe Garamond Pro Bold" w:cs="Adobe Garamond Pro Bold"/>
          <w:b/>
          <w:bCs/>
          <w:color w:val="000000"/>
          <w:sz w:val="76"/>
          <w:szCs w:val="76"/>
        </w:rPr>
        <w:t xml:space="preserve">Plan for Lesson </w:t>
      </w:r>
      <w:r w:rsidRPr="001938FD">
        <w:rPr>
          <w:rFonts w:ascii="Adobe Garamond Pro Bold" w:eastAsiaTheme="minorHAnsi" w:hAnsi="Adobe Garamond Pro Bold" w:cs="Adobe Garamond Pro Bold"/>
          <w:b/>
          <w:bCs/>
          <w:color w:val="000000"/>
          <w:sz w:val="76"/>
          <w:szCs w:val="76"/>
        </w:rPr>
        <w:t>19</w:t>
      </w:r>
    </w:p>
    <w:p w:rsidR="001938FD" w:rsidRPr="001938FD" w:rsidRDefault="001938FD" w:rsidP="001938FD">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1938FD">
        <w:rPr>
          <w:rFonts w:ascii="Adobe Garamond Pro Bold" w:eastAsiaTheme="minorHAnsi" w:hAnsi="Adobe Garamond Pro Bold" w:cs="Adobe Garamond Pro Bold"/>
          <w:b/>
          <w:bCs/>
          <w:color w:val="000000"/>
          <w:sz w:val="50"/>
          <w:szCs w:val="50"/>
        </w:rPr>
        <w:t>Confirmation</w:t>
      </w:r>
    </w:p>
    <w:p w:rsidR="001938FD" w:rsidRPr="001938FD" w:rsidRDefault="001938FD" w:rsidP="001938F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1938FD">
        <w:rPr>
          <w:rFonts w:ascii="Adobe Garamond Pro Bold" w:eastAsiaTheme="minorHAnsi" w:hAnsi="Adobe Garamond Pro Bold" w:cs="Adobe Garamond Pro Bold"/>
          <w:b/>
          <w:bCs/>
          <w:color w:val="000000"/>
          <w:sz w:val="28"/>
          <w:szCs w:val="28"/>
        </w:rPr>
        <w:t>Preparation and Supplies</w:t>
      </w:r>
    </w:p>
    <w:p w:rsidR="001938FD" w:rsidRPr="001938FD" w:rsidRDefault="001938FD" w:rsidP="001938F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1938FD">
        <w:rPr>
          <w:rFonts w:ascii="Adobe Garamond Pro" w:eastAsiaTheme="minorHAnsi" w:hAnsi="Adobe Garamond Pro" w:cs="Adobe Garamond Pro"/>
          <w:color w:val="000000"/>
          <w:sz w:val="23"/>
          <w:szCs w:val="23"/>
        </w:rPr>
        <w:t>•</w:t>
      </w:r>
      <w:r w:rsidRPr="001938FD">
        <w:rPr>
          <w:rFonts w:ascii="Adobe Garamond Pro" w:eastAsiaTheme="minorHAnsi" w:hAnsi="Adobe Garamond Pro" w:cs="Adobe Garamond Pro"/>
          <w:color w:val="000000"/>
          <w:sz w:val="23"/>
          <w:szCs w:val="23"/>
        </w:rPr>
        <w:tab/>
        <w:t>Study chapter 19, “Confirmation,” in the handbook.</w:t>
      </w:r>
    </w:p>
    <w:p w:rsidR="001938FD" w:rsidRPr="001938FD" w:rsidRDefault="001938FD" w:rsidP="001938F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1938FD">
        <w:rPr>
          <w:rFonts w:ascii="Adobe Garamond Pro" w:eastAsiaTheme="minorHAnsi" w:hAnsi="Adobe Garamond Pro" w:cs="Adobe Garamond Pro"/>
          <w:color w:val="000000"/>
          <w:sz w:val="23"/>
          <w:szCs w:val="23"/>
        </w:rPr>
        <w:t>•</w:t>
      </w:r>
      <w:r w:rsidRPr="001938FD">
        <w:rPr>
          <w:rFonts w:ascii="Adobe Garamond Pro" w:eastAsiaTheme="minorHAnsi" w:hAnsi="Adobe Garamond Pro" w:cs="Adobe Garamond Pro"/>
          <w:color w:val="000000"/>
          <w:sz w:val="23"/>
          <w:szCs w:val="23"/>
        </w:rPr>
        <w:tab/>
        <w:t xml:space="preserve">Gather a Bible, seven brown paper bags, and enough 2-x-2-inch squares of red, orange, </w:t>
      </w:r>
      <w:r w:rsidRPr="001938FD">
        <w:rPr>
          <w:rFonts w:ascii="Adobe Garamond Pro" w:eastAsiaTheme="minorHAnsi" w:hAnsi="Adobe Garamond Pro" w:cs="Adobe Garamond Pro"/>
          <w:color w:val="000000"/>
          <w:sz w:val="23"/>
          <w:szCs w:val="23"/>
        </w:rPr>
        <w:br/>
      </w:r>
      <w:r w:rsidRPr="001938FD">
        <w:rPr>
          <w:rFonts w:ascii="Adobe Garamond Pro" w:eastAsiaTheme="minorHAnsi" w:hAnsi="Adobe Garamond Pro" w:cs="Adobe Garamond Pro"/>
          <w:color w:val="000000"/>
          <w:sz w:val="23"/>
          <w:szCs w:val="23"/>
        </w:rPr>
        <w:tab/>
        <w:t>yellow, and white paper for four to five times the number of participants.</w:t>
      </w:r>
    </w:p>
    <w:p w:rsidR="001938FD" w:rsidRPr="001938FD" w:rsidRDefault="001938FD" w:rsidP="001938F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1938FD">
        <w:rPr>
          <w:rFonts w:ascii="Adobe Garamond Pro" w:eastAsiaTheme="minorHAnsi" w:hAnsi="Adobe Garamond Pro" w:cs="Adobe Garamond Pro"/>
          <w:color w:val="000000"/>
          <w:sz w:val="23"/>
          <w:szCs w:val="23"/>
        </w:rPr>
        <w:t>•</w:t>
      </w:r>
      <w:r w:rsidRPr="001938FD">
        <w:rPr>
          <w:rFonts w:ascii="Adobe Garamond Pro" w:eastAsiaTheme="minorHAnsi" w:hAnsi="Adobe Garamond Pro" w:cs="Adobe Garamond Pro"/>
          <w:color w:val="000000"/>
          <w:sz w:val="23"/>
          <w:szCs w:val="23"/>
        </w:rPr>
        <w:tab/>
        <w:t xml:space="preserve">Print two copies of the handout “I </w:t>
      </w:r>
      <w:proofErr w:type="gramStart"/>
      <w:r w:rsidRPr="001938FD">
        <w:rPr>
          <w:rFonts w:ascii="Adobe Garamond Pro" w:eastAsiaTheme="minorHAnsi" w:hAnsi="Adobe Garamond Pro" w:cs="Adobe Garamond Pro"/>
          <w:color w:val="000000"/>
          <w:sz w:val="23"/>
          <w:szCs w:val="23"/>
        </w:rPr>
        <w:t>Believe  .</w:t>
      </w:r>
      <w:proofErr w:type="gramEnd"/>
      <w:r w:rsidRPr="001938FD">
        <w:rPr>
          <w:rFonts w:ascii="Adobe Garamond Pro" w:eastAsiaTheme="minorHAnsi" w:hAnsi="Adobe Garamond Pro" w:cs="Adobe Garamond Pro"/>
          <w:color w:val="000000"/>
          <w:sz w:val="23"/>
          <w:szCs w:val="23"/>
        </w:rPr>
        <w:t xml:space="preserve">  .  .” (Document #: TX003397). Cut one copy </w:t>
      </w:r>
      <w:r w:rsidRPr="001938FD">
        <w:rPr>
          <w:rFonts w:ascii="Adobe Garamond Pro" w:eastAsiaTheme="minorHAnsi" w:hAnsi="Adobe Garamond Pro" w:cs="Adobe Garamond Pro"/>
          <w:color w:val="000000"/>
          <w:sz w:val="23"/>
          <w:szCs w:val="23"/>
        </w:rPr>
        <w:br/>
      </w:r>
      <w:r w:rsidRPr="001938FD">
        <w:rPr>
          <w:rFonts w:ascii="Adobe Garamond Pro" w:eastAsiaTheme="minorHAnsi" w:hAnsi="Adobe Garamond Pro" w:cs="Adobe Garamond Pro"/>
          <w:color w:val="000000"/>
          <w:sz w:val="23"/>
          <w:szCs w:val="23"/>
        </w:rPr>
        <w:tab/>
        <w:t xml:space="preserve">apart on the dotted lines. Staple one of the seven belief statements to the outside of each </w:t>
      </w:r>
      <w:r w:rsidRPr="001938FD">
        <w:rPr>
          <w:rFonts w:ascii="Adobe Garamond Pro" w:eastAsiaTheme="minorHAnsi" w:hAnsi="Adobe Garamond Pro" w:cs="Adobe Garamond Pro"/>
          <w:color w:val="000000"/>
          <w:sz w:val="23"/>
          <w:szCs w:val="23"/>
        </w:rPr>
        <w:br/>
      </w:r>
      <w:r w:rsidRPr="001938FD">
        <w:rPr>
          <w:rFonts w:ascii="Adobe Garamond Pro" w:eastAsiaTheme="minorHAnsi" w:hAnsi="Adobe Garamond Pro" w:cs="Adobe Garamond Pro"/>
          <w:color w:val="000000"/>
          <w:sz w:val="23"/>
          <w:szCs w:val="23"/>
        </w:rPr>
        <w:tab/>
        <w:t xml:space="preserve">paper bag, and then distribute the bags around the room. Post the other copy of the handout </w:t>
      </w:r>
      <w:r w:rsidRPr="001938FD">
        <w:rPr>
          <w:rFonts w:ascii="Adobe Garamond Pro" w:eastAsiaTheme="minorHAnsi" w:hAnsi="Adobe Garamond Pro" w:cs="Adobe Garamond Pro"/>
          <w:color w:val="000000"/>
          <w:sz w:val="23"/>
          <w:szCs w:val="23"/>
        </w:rPr>
        <w:br/>
      </w:r>
      <w:r w:rsidRPr="001938FD">
        <w:rPr>
          <w:rFonts w:ascii="Adobe Garamond Pro" w:eastAsiaTheme="minorHAnsi" w:hAnsi="Adobe Garamond Pro" w:cs="Adobe Garamond Pro"/>
          <w:color w:val="000000"/>
          <w:sz w:val="23"/>
          <w:szCs w:val="23"/>
        </w:rPr>
        <w:tab/>
        <w:t>where everyone can see it.</w:t>
      </w:r>
    </w:p>
    <w:p w:rsidR="001938FD" w:rsidRPr="001938FD" w:rsidRDefault="001938FD" w:rsidP="001938FD">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1938FD">
        <w:rPr>
          <w:rFonts w:ascii="Adobe Garamond Pro" w:eastAsiaTheme="minorHAnsi" w:hAnsi="Adobe Garamond Pro" w:cs="Adobe Garamond Pro"/>
          <w:color w:val="000000"/>
          <w:sz w:val="23"/>
          <w:szCs w:val="23"/>
        </w:rPr>
        <w:t>•</w:t>
      </w:r>
      <w:r w:rsidRPr="001938FD">
        <w:rPr>
          <w:rFonts w:ascii="Adobe Garamond Pro" w:eastAsiaTheme="minorHAnsi" w:hAnsi="Adobe Garamond Pro" w:cs="Adobe Garamond Pro"/>
          <w:color w:val="000000"/>
          <w:sz w:val="23"/>
          <w:szCs w:val="23"/>
        </w:rPr>
        <w:tab/>
        <w:t xml:space="preserve">Write the following color guide on the board or on a sheet of newsprint, and post it in the </w:t>
      </w:r>
      <w:r w:rsidRPr="001938FD">
        <w:rPr>
          <w:rFonts w:ascii="Adobe Garamond Pro" w:eastAsiaTheme="minorHAnsi" w:hAnsi="Adobe Garamond Pro" w:cs="Adobe Garamond Pro"/>
          <w:color w:val="000000"/>
          <w:sz w:val="23"/>
          <w:szCs w:val="23"/>
        </w:rPr>
        <w:br/>
      </w:r>
      <w:r w:rsidRPr="001938FD">
        <w:rPr>
          <w:rFonts w:ascii="Adobe Garamond Pro" w:eastAsiaTheme="minorHAnsi" w:hAnsi="Adobe Garamond Pro" w:cs="Adobe Garamond Pro"/>
          <w:color w:val="000000"/>
          <w:sz w:val="23"/>
          <w:szCs w:val="23"/>
        </w:rPr>
        <w:tab/>
        <w:t>meeting space:</w:t>
      </w:r>
    </w:p>
    <w:p w:rsidR="001938FD" w:rsidRPr="003F0D79" w:rsidRDefault="001938FD" w:rsidP="003F0D79">
      <w:pPr>
        <w:pStyle w:val="ListParagraph"/>
        <w:numPr>
          <w:ilvl w:val="0"/>
          <w:numId w:val="36"/>
        </w:numPr>
        <w:tabs>
          <w:tab w:val="left" w:pos="400"/>
          <w:tab w:val="left" w:pos="78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3F0D79">
        <w:rPr>
          <w:rFonts w:ascii="Adobe Garamond Pro" w:eastAsiaTheme="minorHAnsi" w:hAnsi="Adobe Garamond Pro" w:cs="Adobe Garamond Pro"/>
          <w:color w:val="000000"/>
          <w:sz w:val="23"/>
          <w:szCs w:val="23"/>
        </w:rPr>
        <w:t>red = strongly disagree</w:t>
      </w:r>
    </w:p>
    <w:p w:rsidR="001938FD" w:rsidRPr="003F0D79" w:rsidRDefault="001938FD" w:rsidP="003F0D79">
      <w:pPr>
        <w:pStyle w:val="ListParagraph"/>
        <w:numPr>
          <w:ilvl w:val="0"/>
          <w:numId w:val="36"/>
        </w:numPr>
        <w:tabs>
          <w:tab w:val="left" w:pos="400"/>
          <w:tab w:val="left" w:pos="78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3F0D79">
        <w:rPr>
          <w:rFonts w:ascii="Adobe Garamond Pro" w:eastAsiaTheme="minorHAnsi" w:hAnsi="Adobe Garamond Pro" w:cs="Adobe Garamond Pro"/>
          <w:color w:val="000000"/>
          <w:sz w:val="23"/>
          <w:szCs w:val="23"/>
        </w:rPr>
        <w:t>orange = disagree</w:t>
      </w:r>
    </w:p>
    <w:p w:rsidR="001938FD" w:rsidRPr="003F0D79" w:rsidRDefault="001938FD" w:rsidP="003F0D79">
      <w:pPr>
        <w:pStyle w:val="ListParagraph"/>
        <w:numPr>
          <w:ilvl w:val="0"/>
          <w:numId w:val="36"/>
        </w:numPr>
        <w:tabs>
          <w:tab w:val="left" w:pos="400"/>
          <w:tab w:val="left" w:pos="78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3F0D79">
        <w:rPr>
          <w:rFonts w:ascii="Adobe Garamond Pro" w:eastAsiaTheme="minorHAnsi" w:hAnsi="Adobe Garamond Pro" w:cs="Adobe Garamond Pro"/>
          <w:color w:val="000000"/>
          <w:sz w:val="23"/>
          <w:szCs w:val="23"/>
        </w:rPr>
        <w:t>yellow = agree</w:t>
      </w:r>
    </w:p>
    <w:p w:rsidR="001938FD" w:rsidRPr="003F0D79" w:rsidRDefault="001938FD" w:rsidP="003F0D79">
      <w:pPr>
        <w:pStyle w:val="ListParagraph"/>
        <w:numPr>
          <w:ilvl w:val="0"/>
          <w:numId w:val="36"/>
        </w:numPr>
        <w:tabs>
          <w:tab w:val="left" w:pos="400"/>
          <w:tab w:val="left" w:pos="78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3F0D79">
        <w:rPr>
          <w:rFonts w:ascii="Adobe Garamond Pro" w:eastAsiaTheme="minorHAnsi" w:hAnsi="Adobe Garamond Pro" w:cs="Adobe Garamond Pro"/>
          <w:color w:val="000000"/>
          <w:sz w:val="23"/>
          <w:szCs w:val="23"/>
        </w:rPr>
        <w:t>white = strongly agree</w:t>
      </w:r>
    </w:p>
    <w:p w:rsidR="001938FD" w:rsidRPr="001938FD" w:rsidRDefault="001938FD" w:rsidP="001938F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1938FD">
        <w:rPr>
          <w:rFonts w:ascii="Adobe Garamond Pro Bold" w:eastAsiaTheme="minorHAnsi" w:hAnsi="Adobe Garamond Pro Bold" w:cs="Adobe Garamond Pro Bold"/>
          <w:b/>
          <w:bCs/>
          <w:color w:val="000000"/>
          <w:sz w:val="34"/>
          <w:szCs w:val="34"/>
        </w:rPr>
        <w:t xml:space="preserve">Pray It! </w:t>
      </w:r>
      <w:r w:rsidRPr="001938FD">
        <w:rPr>
          <w:rFonts w:ascii="Adobe Garamond Pro Bold" w:eastAsiaTheme="minorHAnsi" w:hAnsi="Adobe Garamond Pro Bold" w:cs="Adobe Garamond Pro Bold"/>
          <w:b/>
          <w:bCs/>
          <w:color w:val="000000"/>
          <w:sz w:val="28"/>
          <w:szCs w:val="28"/>
        </w:rPr>
        <w:t>(5 minutes)</w:t>
      </w:r>
    </w:p>
    <w:p w:rsidR="001938FD" w:rsidRPr="001938FD" w:rsidRDefault="001938FD" w:rsidP="001938F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1938FD">
        <w:rPr>
          <w:rFonts w:ascii="Adobe Garamond Pro Bold" w:eastAsiaTheme="minorHAnsi" w:hAnsi="Adobe Garamond Pro Bold" w:cs="Adobe Garamond Pro Bold"/>
          <w:b/>
          <w:bCs/>
          <w:color w:val="000000"/>
          <w:szCs w:val="24"/>
        </w:rPr>
        <w:t>Tell</w:t>
      </w:r>
      <w:r w:rsidRPr="001938FD">
        <w:rPr>
          <w:rFonts w:ascii="Adobe Garamond Pro" w:eastAsiaTheme="minorHAnsi" w:hAnsi="Adobe Garamond Pro" w:cs="Adobe Garamond Pro"/>
          <w:color w:val="000000"/>
          <w:sz w:val="23"/>
          <w:szCs w:val="23"/>
        </w:rPr>
        <w:t xml:space="preserve"> the participants that class will begin with a prayer to the Holy Spirit. </w:t>
      </w:r>
      <w:r w:rsidRPr="001938FD">
        <w:rPr>
          <w:rFonts w:ascii="Adobe Garamond Pro Bold" w:eastAsiaTheme="minorHAnsi" w:hAnsi="Adobe Garamond Pro Bold" w:cs="Adobe Garamond Pro Bold"/>
          <w:b/>
          <w:bCs/>
          <w:color w:val="000000"/>
          <w:szCs w:val="24"/>
        </w:rPr>
        <w:t>Direct</w:t>
      </w:r>
      <w:r w:rsidRPr="001938FD">
        <w:rPr>
          <w:rFonts w:ascii="Adobe Garamond Pro" w:eastAsiaTheme="minorHAnsi" w:hAnsi="Adobe Garamond Pro" w:cs="Adobe Garamond Pro"/>
          <w:color w:val="000000"/>
          <w:sz w:val="23"/>
          <w:szCs w:val="23"/>
        </w:rPr>
        <w:t xml:space="preserve"> them to turn to the Pray It!! “Prayer for the Holy Spirit,” on page 205 in the handbook. </w:t>
      </w:r>
      <w:r w:rsidRPr="001938FD">
        <w:rPr>
          <w:rFonts w:ascii="Adobe Garamond Pro Bold" w:eastAsiaTheme="minorHAnsi" w:hAnsi="Adobe Garamond Pro Bold" w:cs="Adobe Garamond Pro Bold"/>
          <w:b/>
          <w:bCs/>
          <w:color w:val="000000"/>
          <w:szCs w:val="24"/>
        </w:rPr>
        <w:t>Ask</w:t>
      </w:r>
      <w:r w:rsidRPr="001938FD">
        <w:rPr>
          <w:rFonts w:ascii="Adobe Garamond Pro" w:eastAsiaTheme="minorHAnsi" w:hAnsi="Adobe Garamond Pro" w:cs="Adobe Garamond Pro"/>
          <w:color w:val="000000"/>
          <w:sz w:val="23"/>
          <w:szCs w:val="23"/>
        </w:rPr>
        <w:t xml:space="preserve"> a volunteer to read Isaiah 61:1–2 from a Bible. Then </w:t>
      </w:r>
      <w:r w:rsidRPr="001938FD">
        <w:rPr>
          <w:rFonts w:ascii="Adobe Garamond Pro Bold" w:eastAsiaTheme="minorHAnsi" w:hAnsi="Adobe Garamond Pro Bold" w:cs="Adobe Garamond Pro Bold"/>
          <w:b/>
          <w:bCs/>
          <w:color w:val="000000"/>
          <w:szCs w:val="24"/>
        </w:rPr>
        <w:t>lead</w:t>
      </w:r>
      <w:r w:rsidRPr="001938FD">
        <w:rPr>
          <w:rFonts w:ascii="Adobe Garamond Pro" w:eastAsiaTheme="minorHAnsi" w:hAnsi="Adobe Garamond Pro" w:cs="Adobe Garamond Pro"/>
          <w:color w:val="000000"/>
          <w:sz w:val="23"/>
          <w:szCs w:val="23"/>
        </w:rPr>
        <w:t xml:space="preserve"> the young people in praying together the prayer at the bottom of the sidebar.</w:t>
      </w:r>
    </w:p>
    <w:p w:rsidR="001938FD" w:rsidRPr="001938FD" w:rsidRDefault="001938FD" w:rsidP="001938F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1938FD">
        <w:rPr>
          <w:rFonts w:ascii="Adobe Garamond Pro Bold" w:eastAsiaTheme="minorHAnsi" w:hAnsi="Adobe Garamond Pro Bold" w:cs="Adobe Garamond Pro Bold"/>
          <w:b/>
          <w:bCs/>
          <w:color w:val="000000"/>
          <w:sz w:val="34"/>
          <w:szCs w:val="34"/>
        </w:rPr>
        <w:t xml:space="preserve">Study It! </w:t>
      </w:r>
      <w:r w:rsidRPr="001938FD">
        <w:rPr>
          <w:rFonts w:ascii="Adobe Garamond Pro Bold" w:eastAsiaTheme="minorHAnsi" w:hAnsi="Adobe Garamond Pro Bold" w:cs="Adobe Garamond Pro Bold"/>
          <w:b/>
          <w:bCs/>
          <w:color w:val="000000"/>
          <w:sz w:val="28"/>
          <w:szCs w:val="28"/>
        </w:rPr>
        <w:t>(35 to 45 minutes, depending on your class length)</w:t>
      </w:r>
    </w:p>
    <w:p w:rsidR="001938FD" w:rsidRPr="001938FD" w:rsidRDefault="001938FD" w:rsidP="001938F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1938FD">
        <w:rPr>
          <w:rFonts w:ascii="Adobe Garamond Pro Bold" w:eastAsiaTheme="minorHAnsi" w:hAnsi="Adobe Garamond Pro Bold" w:cs="Adobe Garamond Pro Bold"/>
          <w:b/>
          <w:bCs/>
          <w:color w:val="000000"/>
          <w:sz w:val="28"/>
          <w:szCs w:val="28"/>
        </w:rPr>
        <w:t>A. The Gifts of the Holy Spirit</w:t>
      </w:r>
    </w:p>
    <w:p w:rsidR="001938FD" w:rsidRPr="003F0D79" w:rsidRDefault="001938FD" w:rsidP="003F0D79">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F0D79">
        <w:rPr>
          <w:rFonts w:ascii="Adobe Garamond Pro Bold" w:eastAsiaTheme="minorHAnsi" w:hAnsi="Adobe Garamond Pro Bold" w:cs="Adobe Garamond Pro Bold"/>
          <w:b/>
          <w:bCs/>
          <w:color w:val="000000"/>
          <w:szCs w:val="24"/>
        </w:rPr>
        <w:t>Invite</w:t>
      </w:r>
      <w:r w:rsidRPr="003F0D79">
        <w:rPr>
          <w:rFonts w:ascii="Adobe Garamond Pro" w:eastAsiaTheme="minorHAnsi" w:hAnsi="Adobe Garamond Pro" w:cs="Adobe Garamond Pro"/>
          <w:color w:val="000000"/>
          <w:sz w:val="23"/>
          <w:szCs w:val="23"/>
        </w:rPr>
        <w:t xml:space="preserve"> the young people to share a positive event or circumstance in their lives that made them say, “What a coincidence!” For example, on a bad day, they may have received a card in the mail from a good friend. Then </w:t>
      </w:r>
      <w:r w:rsidRPr="003F0D79">
        <w:rPr>
          <w:rFonts w:ascii="Adobe Garamond Pro Bold" w:eastAsiaTheme="minorHAnsi" w:hAnsi="Adobe Garamond Pro Bold" w:cs="Adobe Garamond Pro Bold"/>
          <w:b/>
          <w:bCs/>
          <w:color w:val="000000"/>
          <w:szCs w:val="24"/>
        </w:rPr>
        <w:t>invite</w:t>
      </w:r>
      <w:r w:rsidRPr="003F0D79">
        <w:rPr>
          <w:rFonts w:ascii="Adobe Garamond Pro" w:eastAsiaTheme="minorHAnsi" w:hAnsi="Adobe Garamond Pro" w:cs="Adobe Garamond Pro"/>
          <w:color w:val="000000"/>
          <w:sz w:val="23"/>
          <w:szCs w:val="23"/>
        </w:rPr>
        <w:t xml:space="preserve"> the participants to discuss how those events might have in fact been a grace or gift of the Holy Spirit rather than just simply happenstance.</w:t>
      </w:r>
    </w:p>
    <w:p w:rsidR="001938FD" w:rsidRPr="003F0D79" w:rsidRDefault="001938FD" w:rsidP="003F0D79">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F0D79">
        <w:rPr>
          <w:rFonts w:ascii="Adobe Garamond Pro Bold" w:eastAsiaTheme="minorHAnsi" w:hAnsi="Adobe Garamond Pro Bold" w:cs="Adobe Garamond Pro Bold"/>
          <w:b/>
          <w:bCs/>
          <w:color w:val="000000"/>
          <w:szCs w:val="24"/>
        </w:rPr>
        <w:t>Direct</w:t>
      </w:r>
      <w:r w:rsidRPr="003F0D79">
        <w:rPr>
          <w:rFonts w:ascii="Adobe Garamond Pro" w:eastAsiaTheme="minorHAnsi" w:hAnsi="Adobe Garamond Pro" w:cs="Adobe Garamond Pro"/>
          <w:color w:val="000000"/>
          <w:sz w:val="23"/>
          <w:szCs w:val="23"/>
        </w:rPr>
        <w:t xml:space="preserve"> the young people to read the chapter introduction and the section “The Gifts of the Holy Spirit,” on pages 203–204 in the handbook. The content covers points 1 through 4 on the handout “Lesson 19 Summary” (Document #: TX003396).</w:t>
      </w:r>
    </w:p>
    <w:p w:rsidR="001938FD" w:rsidRPr="003F0D79" w:rsidRDefault="001938FD" w:rsidP="003F0D79">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F0D79">
        <w:rPr>
          <w:rFonts w:ascii="Adobe Garamond Pro Bold" w:eastAsiaTheme="minorHAnsi" w:hAnsi="Adobe Garamond Pro Bold" w:cs="Adobe Garamond Pro Bold"/>
          <w:b/>
          <w:bCs/>
          <w:i/>
          <w:iCs/>
          <w:color w:val="000000"/>
          <w:sz w:val="23"/>
          <w:szCs w:val="23"/>
        </w:rPr>
        <w:t>(Optional)</w:t>
      </w:r>
      <w:r w:rsidRPr="003F0D79">
        <w:rPr>
          <w:rFonts w:ascii="Adobe Garamond Pro" w:eastAsiaTheme="minorHAnsi" w:hAnsi="Adobe Garamond Pro" w:cs="Adobe Garamond Pro"/>
          <w:color w:val="000000"/>
          <w:sz w:val="23"/>
          <w:szCs w:val="23"/>
        </w:rPr>
        <w:t xml:space="preserve">  </w:t>
      </w:r>
      <w:r w:rsidRPr="003F0D79">
        <w:rPr>
          <w:rFonts w:ascii="Adobe Garamond Pro Bold" w:eastAsiaTheme="minorHAnsi" w:hAnsi="Adobe Garamond Pro Bold" w:cs="Adobe Garamond Pro Bold"/>
          <w:b/>
          <w:bCs/>
          <w:color w:val="000000"/>
          <w:szCs w:val="24"/>
        </w:rPr>
        <w:t>Ask</w:t>
      </w:r>
      <w:r w:rsidRPr="003F0D79">
        <w:rPr>
          <w:rFonts w:ascii="Adobe Garamond Pro" w:eastAsiaTheme="minorHAnsi" w:hAnsi="Adobe Garamond Pro" w:cs="Adobe Garamond Pro"/>
          <w:color w:val="000000"/>
          <w:sz w:val="23"/>
          <w:szCs w:val="23"/>
        </w:rPr>
        <w:t xml:space="preserve"> the young people to turn to the Reflect directions on page 204 in the handbook and answer the questions presented there.</w:t>
      </w:r>
    </w:p>
    <w:p w:rsidR="001938FD" w:rsidRPr="001938FD" w:rsidRDefault="001938FD" w:rsidP="001938F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1938FD">
        <w:rPr>
          <w:rFonts w:ascii="Adobe Garamond Pro Bold" w:eastAsiaTheme="minorHAnsi" w:hAnsi="Adobe Garamond Pro Bold" w:cs="Adobe Garamond Pro Bold"/>
          <w:b/>
          <w:bCs/>
          <w:color w:val="000000"/>
          <w:sz w:val="28"/>
          <w:szCs w:val="28"/>
        </w:rPr>
        <w:lastRenderedPageBreak/>
        <w:t>B. A Short History of Confirmation</w:t>
      </w:r>
    </w:p>
    <w:p w:rsidR="001938FD" w:rsidRPr="003F0D79" w:rsidRDefault="001938FD" w:rsidP="003F0D79">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F0D79">
        <w:rPr>
          <w:rFonts w:ascii="Adobe Garamond Pro Bold" w:eastAsiaTheme="minorHAnsi" w:hAnsi="Adobe Garamond Pro Bold" w:cs="Adobe Garamond Pro Bold"/>
          <w:b/>
          <w:bCs/>
          <w:color w:val="000000"/>
          <w:szCs w:val="24"/>
        </w:rPr>
        <w:t>Invite</w:t>
      </w:r>
      <w:r w:rsidRPr="003F0D79">
        <w:rPr>
          <w:rFonts w:ascii="Adobe Garamond Pro" w:eastAsiaTheme="minorHAnsi" w:hAnsi="Adobe Garamond Pro" w:cs="Adobe Garamond Pro"/>
          <w:color w:val="000000"/>
          <w:sz w:val="23"/>
          <w:szCs w:val="23"/>
        </w:rPr>
        <w:t xml:space="preserve"> the young people to reflect on the following question: What does it mean to be united to the Church? Allow a few minutes of silent reflection. Introduce the reading by saying:</w:t>
      </w:r>
    </w:p>
    <w:p w:rsidR="001938FD" w:rsidRPr="003F0D79" w:rsidRDefault="001938FD" w:rsidP="003F0D79">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3F0D79">
        <w:rPr>
          <w:rFonts w:ascii="Adobe Garamond Pro" w:eastAsiaTheme="minorHAnsi" w:hAnsi="Adobe Garamond Pro" w:cs="Adobe Garamond Pro"/>
          <w:color w:val="000000"/>
          <w:sz w:val="23"/>
          <w:szCs w:val="23"/>
        </w:rPr>
        <w:t>Being united more closely with the Church is one of the effects of the Sacrament of Confirmation that we will now read about.</w:t>
      </w:r>
    </w:p>
    <w:p w:rsidR="001938FD" w:rsidRPr="003F0D79" w:rsidRDefault="001938FD" w:rsidP="003F0D79">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F0D79">
        <w:rPr>
          <w:rFonts w:ascii="Adobe Garamond Pro Bold" w:eastAsiaTheme="minorHAnsi" w:hAnsi="Adobe Garamond Pro Bold" w:cs="Adobe Garamond Pro Bold"/>
          <w:b/>
          <w:bCs/>
          <w:color w:val="000000"/>
          <w:szCs w:val="24"/>
        </w:rPr>
        <w:t>Direct</w:t>
      </w:r>
      <w:r w:rsidRPr="003F0D79">
        <w:rPr>
          <w:rFonts w:ascii="Adobe Garamond Pro" w:eastAsiaTheme="minorHAnsi" w:hAnsi="Adobe Garamond Pro" w:cs="Adobe Garamond Pro"/>
          <w:color w:val="000000"/>
          <w:sz w:val="23"/>
          <w:szCs w:val="23"/>
        </w:rPr>
        <w:t xml:space="preserve"> the participants to read the sections “A Short History of Confirmation” and “The Effects of Confirmation,” on pages 205–209 in the handbook. The content covers points 5 and 6 on the handout “Lesson 19 Summary.”</w:t>
      </w:r>
    </w:p>
    <w:p w:rsidR="001938FD" w:rsidRPr="003F0D79" w:rsidRDefault="001938FD" w:rsidP="003F0D79">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F0D79">
        <w:rPr>
          <w:rFonts w:ascii="Adobe Garamond Pro Bold" w:eastAsiaTheme="minorHAnsi" w:hAnsi="Adobe Garamond Pro Bold" w:cs="Adobe Garamond Pro Bold"/>
          <w:b/>
          <w:bCs/>
          <w:i/>
          <w:iCs/>
          <w:color w:val="000000"/>
          <w:sz w:val="23"/>
          <w:szCs w:val="23"/>
        </w:rPr>
        <w:t>(Optional)</w:t>
      </w:r>
      <w:r w:rsidRPr="003F0D79">
        <w:rPr>
          <w:rFonts w:ascii="Adobe Garamond Pro" w:eastAsiaTheme="minorHAnsi" w:hAnsi="Adobe Garamond Pro" w:cs="Adobe Garamond Pro"/>
          <w:color w:val="000000"/>
          <w:sz w:val="23"/>
          <w:szCs w:val="23"/>
        </w:rPr>
        <w:t xml:space="preserve">  </w:t>
      </w:r>
      <w:r w:rsidRPr="003F0D79">
        <w:rPr>
          <w:rFonts w:ascii="Adobe Garamond Pro Bold" w:eastAsiaTheme="minorHAnsi" w:hAnsi="Adobe Garamond Pro Bold" w:cs="Adobe Garamond Pro Bold"/>
          <w:b/>
          <w:bCs/>
          <w:color w:val="000000"/>
          <w:szCs w:val="24"/>
        </w:rPr>
        <w:t>Invite</w:t>
      </w:r>
      <w:r w:rsidRPr="003F0D79">
        <w:rPr>
          <w:rFonts w:ascii="Adobe Garamond Pro" w:eastAsiaTheme="minorHAnsi" w:hAnsi="Adobe Garamond Pro" w:cs="Adobe Garamond Pro"/>
          <w:color w:val="000000"/>
          <w:sz w:val="23"/>
          <w:szCs w:val="23"/>
        </w:rPr>
        <w:t xml:space="preserve"> questions and observations on the content. You could also direct the participants to the Reflect directions on page 211 in the handbook.</w:t>
      </w:r>
    </w:p>
    <w:p w:rsidR="001938FD" w:rsidRPr="001938FD" w:rsidRDefault="001938FD" w:rsidP="001938FD">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1938FD">
        <w:rPr>
          <w:rFonts w:ascii="Adobe Garamond Pro Bold" w:eastAsiaTheme="minorHAnsi" w:hAnsi="Adobe Garamond Pro Bold" w:cs="Adobe Garamond Pro Bold"/>
          <w:b/>
          <w:bCs/>
          <w:color w:val="000000"/>
          <w:sz w:val="28"/>
          <w:szCs w:val="28"/>
        </w:rPr>
        <w:t>C. The Confirmation Rite</w:t>
      </w:r>
    </w:p>
    <w:p w:rsidR="001938FD" w:rsidRPr="001938FD" w:rsidRDefault="001938FD" w:rsidP="001938FD">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1938FD">
        <w:rPr>
          <w:rFonts w:ascii="Adobe Garamond Pro Bold" w:eastAsiaTheme="minorHAnsi" w:hAnsi="Adobe Garamond Pro Bold" w:cs="Adobe Garamond Pro Bold"/>
          <w:b/>
          <w:bCs/>
          <w:color w:val="000000"/>
          <w:szCs w:val="24"/>
        </w:rPr>
        <w:t>Direct</w:t>
      </w:r>
      <w:r w:rsidRPr="001938FD">
        <w:rPr>
          <w:rFonts w:ascii="Adobe Garamond Pro" w:eastAsiaTheme="minorHAnsi" w:hAnsi="Adobe Garamond Pro" w:cs="Adobe Garamond Pro"/>
          <w:color w:val="000000"/>
          <w:sz w:val="23"/>
          <w:szCs w:val="23"/>
        </w:rPr>
        <w:t xml:space="preserve"> the participants to read the section “The Confirmation Rite,” on pages 209–211 in the handbook. The content covers points 7 through 9 on the handout “Lesson 19 Summary.”</w:t>
      </w:r>
    </w:p>
    <w:p w:rsidR="001938FD" w:rsidRPr="001938FD" w:rsidRDefault="001938FD" w:rsidP="001938F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1938FD">
        <w:rPr>
          <w:rFonts w:ascii="Adobe Garamond Pro" w:eastAsiaTheme="minorHAnsi" w:hAnsi="Adobe Garamond Pro" w:cs="Adobe Garamond Pro"/>
          <w:i/>
          <w:iCs/>
          <w:color w:val="000000"/>
          <w:sz w:val="23"/>
          <w:szCs w:val="23"/>
        </w:rPr>
        <w:t>Note:</w:t>
      </w:r>
      <w:r w:rsidRPr="001938FD">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1938FD" w:rsidRPr="001938FD" w:rsidRDefault="001938FD" w:rsidP="001938F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1938FD">
        <w:rPr>
          <w:rFonts w:ascii="Adobe Garamond Pro Bold" w:eastAsiaTheme="minorHAnsi" w:hAnsi="Adobe Garamond Pro Bold" w:cs="Adobe Garamond Pro Bold"/>
          <w:b/>
          <w:bCs/>
          <w:color w:val="000000"/>
          <w:sz w:val="34"/>
          <w:szCs w:val="34"/>
        </w:rPr>
        <w:t xml:space="preserve">Live It! </w:t>
      </w:r>
      <w:r w:rsidRPr="001938FD">
        <w:rPr>
          <w:rFonts w:ascii="Adobe Garamond Pro Bold" w:eastAsiaTheme="minorHAnsi" w:hAnsi="Adobe Garamond Pro Bold" w:cs="Adobe Garamond Pro Bold"/>
          <w:b/>
          <w:bCs/>
          <w:color w:val="000000"/>
          <w:sz w:val="28"/>
          <w:szCs w:val="28"/>
        </w:rPr>
        <w:t>(15 to 20 minutes)</w:t>
      </w:r>
    </w:p>
    <w:p w:rsidR="001938FD" w:rsidRPr="003F0D79" w:rsidRDefault="001938FD" w:rsidP="003F0D79">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F0D79">
        <w:rPr>
          <w:rFonts w:ascii="Adobe Garamond Pro Bold" w:eastAsiaTheme="minorHAnsi" w:hAnsi="Adobe Garamond Pro Bold" w:cs="Adobe Garamond Pro Bold"/>
          <w:b/>
          <w:bCs/>
          <w:color w:val="000000"/>
          <w:szCs w:val="24"/>
        </w:rPr>
        <w:t>Distribute</w:t>
      </w:r>
      <w:r w:rsidRPr="003F0D79">
        <w:rPr>
          <w:rFonts w:ascii="Adobe Garamond Pro" w:eastAsiaTheme="minorHAnsi" w:hAnsi="Adobe Garamond Pro" w:cs="Adobe Garamond Pro"/>
          <w:color w:val="000000"/>
          <w:sz w:val="23"/>
          <w:szCs w:val="23"/>
        </w:rPr>
        <w:t xml:space="preserve"> to each participant four or five of each of the colored squares, and have a pile of extra squares in a central place. </w:t>
      </w:r>
      <w:r w:rsidRPr="003F0D79">
        <w:rPr>
          <w:rFonts w:ascii="Adobe Garamond Pro Bold" w:eastAsiaTheme="minorHAnsi" w:hAnsi="Adobe Garamond Pro Bold" w:cs="Adobe Garamond Pro Bold"/>
          <w:b/>
          <w:bCs/>
          <w:color w:val="000000"/>
          <w:szCs w:val="24"/>
        </w:rPr>
        <w:t>Review</w:t>
      </w:r>
      <w:r w:rsidRPr="003F0D79">
        <w:rPr>
          <w:rFonts w:ascii="Adobe Garamond Pro" w:eastAsiaTheme="minorHAnsi" w:hAnsi="Adobe Garamond Pro" w:cs="Adobe Garamond Pro"/>
          <w:color w:val="000000"/>
          <w:sz w:val="23"/>
          <w:szCs w:val="23"/>
        </w:rPr>
        <w:t xml:space="preserve"> the color guide you have posted, which indicates chosen responses.</w:t>
      </w:r>
    </w:p>
    <w:p w:rsidR="001938FD" w:rsidRPr="001938FD" w:rsidRDefault="001938FD" w:rsidP="001938FD">
      <w:pPr>
        <w:tabs>
          <w:tab w:val="left" w:pos="1100"/>
        </w:tabs>
        <w:autoSpaceDE w:val="0"/>
        <w:autoSpaceDN w:val="0"/>
        <w:adjustRightInd w:val="0"/>
        <w:spacing w:line="290" w:lineRule="atLeast"/>
        <w:ind w:left="360"/>
        <w:textAlignment w:val="center"/>
        <w:rPr>
          <w:rFonts w:ascii="Adobe Garamond Pro" w:eastAsiaTheme="minorHAnsi" w:hAnsi="Adobe Garamond Pro" w:cs="Adobe Garamond Pro"/>
          <w:color w:val="000000"/>
          <w:sz w:val="23"/>
          <w:szCs w:val="23"/>
        </w:rPr>
      </w:pPr>
      <w:r w:rsidRPr="001938FD">
        <w:rPr>
          <w:rFonts w:ascii="Adobe Garamond Pro Bold" w:eastAsiaTheme="minorHAnsi" w:hAnsi="Adobe Garamond Pro Bold" w:cs="Adobe Garamond Pro Bold"/>
          <w:b/>
          <w:bCs/>
          <w:color w:val="000000"/>
          <w:szCs w:val="24"/>
        </w:rPr>
        <w:t>Explain</w:t>
      </w:r>
      <w:r w:rsidRPr="001938FD">
        <w:rPr>
          <w:rFonts w:ascii="Adobe Garamond Pro" w:eastAsiaTheme="minorHAnsi" w:hAnsi="Adobe Garamond Pro" w:cs="Adobe Garamond Pro"/>
          <w:color w:val="000000"/>
          <w:sz w:val="23"/>
          <w:szCs w:val="23"/>
        </w:rPr>
        <w:t xml:space="preserve"> the task as follows:</w:t>
      </w:r>
    </w:p>
    <w:p w:rsidR="001938FD" w:rsidRPr="003F0D79" w:rsidRDefault="001938FD" w:rsidP="003F0D79">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3F0D79">
        <w:rPr>
          <w:rFonts w:ascii="Adobe Garamond Pro" w:eastAsiaTheme="minorHAnsi" w:hAnsi="Adobe Garamond Pro" w:cs="Adobe Garamond Pro"/>
          <w:color w:val="000000"/>
          <w:sz w:val="23"/>
          <w:szCs w:val="23"/>
        </w:rPr>
        <w:t>Each of you is to walk around the room, read the statement on each bag, and then vote by placing the appropriately colored square in the bag. For example, if you strongly disagree with the specified belief, place a red square in the bag.</w:t>
      </w:r>
    </w:p>
    <w:p w:rsidR="001938FD" w:rsidRPr="003F0D79" w:rsidRDefault="001938FD" w:rsidP="003F0D79">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F0D79">
        <w:rPr>
          <w:rFonts w:ascii="Adobe Garamond Pro" w:eastAsiaTheme="minorHAnsi" w:hAnsi="Adobe Garamond Pro" w:cs="Adobe Garamond Pro"/>
          <w:color w:val="000000"/>
          <w:sz w:val="23"/>
          <w:szCs w:val="23"/>
        </w:rPr>
        <w:t xml:space="preserve">After all the participants have gone around the room and submitted their votes, </w:t>
      </w:r>
      <w:r w:rsidRPr="003F0D79">
        <w:rPr>
          <w:rFonts w:ascii="Adobe Garamond Pro Bold" w:eastAsiaTheme="minorHAnsi" w:hAnsi="Adobe Garamond Pro Bold" w:cs="Adobe Garamond Pro Bold"/>
          <w:b/>
          <w:bCs/>
          <w:color w:val="000000"/>
          <w:szCs w:val="24"/>
        </w:rPr>
        <w:t>tally</w:t>
      </w:r>
      <w:r w:rsidRPr="003F0D79">
        <w:rPr>
          <w:rFonts w:ascii="Adobe Garamond Pro" w:eastAsiaTheme="minorHAnsi" w:hAnsi="Adobe Garamond Pro" w:cs="Adobe Garamond Pro"/>
          <w:color w:val="000000"/>
          <w:sz w:val="23"/>
          <w:szCs w:val="23"/>
        </w:rPr>
        <w:t xml:space="preserve"> the votes. You might ask a few young people to assist you.</w:t>
      </w:r>
    </w:p>
    <w:p w:rsidR="001938FD" w:rsidRPr="003F0D79" w:rsidRDefault="001938FD" w:rsidP="003F0D79">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3F0D79">
        <w:rPr>
          <w:rFonts w:ascii="Adobe Garamond Pro Bold" w:eastAsiaTheme="minorHAnsi" w:hAnsi="Adobe Garamond Pro Bold" w:cs="Adobe Garamond Pro Bold"/>
          <w:b/>
          <w:bCs/>
          <w:color w:val="000000"/>
          <w:szCs w:val="24"/>
        </w:rPr>
        <w:t>Share</w:t>
      </w:r>
      <w:r w:rsidRPr="003F0D79">
        <w:rPr>
          <w:rFonts w:ascii="Adobe Garamond Pro" w:eastAsiaTheme="minorHAnsi" w:hAnsi="Adobe Garamond Pro" w:cs="Adobe Garamond Pro"/>
          <w:color w:val="000000"/>
          <w:sz w:val="23"/>
          <w:szCs w:val="23"/>
        </w:rPr>
        <w:t xml:space="preserve"> the results with the group, and make the following comment in your own words:</w:t>
      </w:r>
    </w:p>
    <w:p w:rsidR="001938FD" w:rsidRPr="003F0D79" w:rsidRDefault="001938FD" w:rsidP="003F0D79">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bookmarkStart w:id="0" w:name="_GoBack"/>
      <w:r w:rsidRPr="003F0D79">
        <w:rPr>
          <w:rFonts w:ascii="Adobe Garamond Pro" w:eastAsiaTheme="minorHAnsi" w:hAnsi="Adobe Garamond Pro" w:cs="Adobe Garamond Pro"/>
          <w:color w:val="000000"/>
          <w:sz w:val="23"/>
          <w:szCs w:val="23"/>
        </w:rPr>
        <w:t xml:space="preserve">Each of the statements that you voted on is related to one of the seven Gifts of the Holy Spirit, which are received in their fullness in the Sacrament of Confirmation: wisdom, understanding, right judgment, courage, knowledge, reverence, and wonder and awe. (See pages </w:t>
      </w:r>
      <w:bookmarkEnd w:id="0"/>
      <w:r w:rsidRPr="003F0D79">
        <w:rPr>
          <w:rFonts w:ascii="Adobe Garamond Pro" w:eastAsiaTheme="minorHAnsi" w:hAnsi="Adobe Garamond Pro" w:cs="Adobe Garamond Pro"/>
          <w:color w:val="000000"/>
          <w:sz w:val="23"/>
          <w:szCs w:val="23"/>
        </w:rPr>
        <w:t>131–132 in the handbook for definitions of these seven Gifts.)</w:t>
      </w:r>
    </w:p>
    <w:p w:rsidR="001938FD" w:rsidRPr="001938FD" w:rsidRDefault="001938FD" w:rsidP="001938FD">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1938FD">
        <w:rPr>
          <w:rFonts w:ascii="Adobe Garamond Pro" w:eastAsiaTheme="minorHAnsi" w:hAnsi="Adobe Garamond Pro" w:cs="Adobe Garamond Pro"/>
          <w:color w:val="000000"/>
          <w:sz w:val="23"/>
          <w:szCs w:val="23"/>
        </w:rPr>
        <w:t xml:space="preserve">If there is time, </w:t>
      </w:r>
      <w:r w:rsidRPr="001938FD">
        <w:rPr>
          <w:rFonts w:ascii="Adobe Garamond Pro Bold" w:eastAsiaTheme="minorHAnsi" w:hAnsi="Adobe Garamond Pro Bold" w:cs="Adobe Garamond Pro Bold"/>
          <w:b/>
          <w:bCs/>
          <w:color w:val="000000"/>
          <w:szCs w:val="24"/>
        </w:rPr>
        <w:t>conclude</w:t>
      </w:r>
      <w:r w:rsidRPr="001938FD">
        <w:rPr>
          <w:rFonts w:ascii="Adobe Garamond Pro" w:eastAsiaTheme="minorHAnsi" w:hAnsi="Adobe Garamond Pro" w:cs="Adobe Garamond Pro"/>
          <w:color w:val="000000"/>
          <w:sz w:val="23"/>
          <w:szCs w:val="23"/>
        </w:rPr>
        <w:t xml:space="preserve"> by brainstorming suggestions about how the participants can continue to nurture the seven Gifts of the Holy Spirit in their lives and to share those gifts with others.</w:t>
      </w:r>
    </w:p>
    <w:p w:rsidR="001938FD" w:rsidRPr="001938FD" w:rsidRDefault="001938FD" w:rsidP="001938FD">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1938FD">
        <w:rPr>
          <w:rFonts w:ascii="Adobe Garamond Pro Bold" w:eastAsiaTheme="minorHAnsi" w:hAnsi="Adobe Garamond Pro Bold" w:cs="Adobe Garamond Pro Bold"/>
          <w:b/>
          <w:bCs/>
          <w:color w:val="000000"/>
          <w:sz w:val="34"/>
          <w:szCs w:val="34"/>
        </w:rPr>
        <w:t xml:space="preserve">Closing Prayer </w:t>
      </w:r>
      <w:r w:rsidRPr="001938FD">
        <w:rPr>
          <w:rFonts w:ascii="Adobe Garamond Pro Bold" w:eastAsiaTheme="minorHAnsi" w:hAnsi="Adobe Garamond Pro Bold" w:cs="Adobe Garamond Pro Bold"/>
          <w:b/>
          <w:bCs/>
          <w:color w:val="000000"/>
          <w:sz w:val="28"/>
          <w:szCs w:val="28"/>
        </w:rPr>
        <w:t>(5 minutes)</w:t>
      </w:r>
    </w:p>
    <w:p w:rsidR="001938FD" w:rsidRPr="001938FD" w:rsidRDefault="001938FD" w:rsidP="001938FD">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1938FD">
        <w:rPr>
          <w:rFonts w:ascii="Adobe Garamond Pro" w:eastAsiaTheme="minorHAnsi" w:hAnsi="Adobe Garamond Pro" w:cs="Adobe Garamond Pro"/>
          <w:color w:val="000000"/>
          <w:sz w:val="23"/>
          <w:szCs w:val="23"/>
        </w:rPr>
        <w:t xml:space="preserve">Following any announcements, close by extending your hand over the young people and </w:t>
      </w:r>
      <w:r w:rsidRPr="001938FD">
        <w:rPr>
          <w:rFonts w:ascii="Adobe Garamond Pro Bold" w:eastAsiaTheme="minorHAnsi" w:hAnsi="Adobe Garamond Pro Bold" w:cs="Adobe Garamond Pro Bold"/>
          <w:b/>
          <w:bCs/>
          <w:color w:val="000000"/>
          <w:szCs w:val="24"/>
        </w:rPr>
        <w:t>praying</w:t>
      </w:r>
      <w:r w:rsidRPr="001938FD">
        <w:rPr>
          <w:rFonts w:ascii="Adobe Garamond Pro" w:eastAsiaTheme="minorHAnsi" w:hAnsi="Adobe Garamond Pro" w:cs="Adobe Garamond Pro"/>
          <w:color w:val="000000"/>
          <w:sz w:val="23"/>
          <w:szCs w:val="23"/>
        </w:rPr>
        <w:t xml:space="preserve"> the “Confirmation Consecratory Prayer,” on page 449 in the handbook.</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BB7" w:rsidRDefault="00555BB7" w:rsidP="004D0079">
      <w:r>
        <w:separator/>
      </w:r>
    </w:p>
    <w:p w:rsidR="00555BB7" w:rsidRDefault="00555BB7"/>
  </w:endnote>
  <w:endnote w:type="continuationSeparator" w:id="0">
    <w:p w:rsidR="00555BB7" w:rsidRDefault="00555BB7" w:rsidP="004D0079">
      <w:r>
        <w:continuationSeparator/>
      </w:r>
    </w:p>
    <w:p w:rsidR="00555BB7" w:rsidRDefault="00555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3F0D79">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1938FD">
                                <w:rPr>
                                  <w:rFonts w:ascii="Arial" w:hAnsi="Arial" w:cs="Arial"/>
                                  <w:color w:val="000000"/>
                                  <w:sz w:val="18"/>
                                  <w:szCs w:val="18"/>
                                </w:rPr>
                                <w:t>311</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3F0D79">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1938FD">
                          <w:rPr>
                            <w:rFonts w:ascii="Arial" w:hAnsi="Arial" w:cs="Arial"/>
                            <w:color w:val="000000"/>
                            <w:sz w:val="18"/>
                            <w:szCs w:val="18"/>
                          </w:rPr>
                          <w:t>311</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1938FD">
                            <w:rPr>
                              <w:rFonts w:ascii="Arial" w:hAnsi="Arial" w:cs="Arial"/>
                              <w:color w:val="000000"/>
                              <w:sz w:val="18"/>
                              <w:szCs w:val="18"/>
                            </w:rPr>
                            <w:t>005311</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1938FD">
                      <w:rPr>
                        <w:rFonts w:ascii="Arial" w:hAnsi="Arial" w:cs="Arial"/>
                        <w:color w:val="000000"/>
                        <w:sz w:val="18"/>
                        <w:szCs w:val="18"/>
                      </w:rPr>
                      <w:t>005311</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BB7" w:rsidRDefault="00555BB7" w:rsidP="004D0079">
      <w:r>
        <w:separator/>
      </w:r>
    </w:p>
    <w:p w:rsidR="00555BB7" w:rsidRDefault="00555BB7"/>
  </w:footnote>
  <w:footnote w:type="continuationSeparator" w:id="0">
    <w:p w:rsidR="00555BB7" w:rsidRDefault="00555BB7" w:rsidP="004D0079">
      <w:r>
        <w:continuationSeparator/>
      </w:r>
    </w:p>
    <w:p w:rsidR="00555BB7" w:rsidRDefault="00555B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1938FD">
      <w:t>19</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210936"/>
    <w:multiLevelType w:val="hybridMultilevel"/>
    <w:tmpl w:val="758AAE9C"/>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2">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4">
    <w:nsid w:val="396932BA"/>
    <w:multiLevelType w:val="hybridMultilevel"/>
    <w:tmpl w:val="90F0B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AF023B7"/>
    <w:multiLevelType w:val="hybridMultilevel"/>
    <w:tmpl w:val="C0925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A578D6"/>
    <w:multiLevelType w:val="hybridMultilevel"/>
    <w:tmpl w:val="D7822944"/>
    <w:lvl w:ilvl="0" w:tplc="04090003">
      <w:start w:val="1"/>
      <w:numFmt w:val="bullet"/>
      <w:lvlText w:val="o"/>
      <w:lvlJc w:val="left"/>
      <w:pPr>
        <w:ind w:left="1138" w:hanging="360"/>
      </w:pPr>
      <w:rPr>
        <w:rFonts w:ascii="Courier New" w:hAnsi="Courier New" w:cs="Courier New"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35">
    <w:nsid w:val="6CEB4759"/>
    <w:multiLevelType w:val="hybridMultilevel"/>
    <w:tmpl w:val="69A2C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0"/>
  </w:num>
  <w:num w:numId="3">
    <w:abstractNumId w:val="16"/>
  </w:num>
  <w:num w:numId="4">
    <w:abstractNumId w:val="22"/>
  </w:num>
  <w:num w:numId="5">
    <w:abstractNumId w:val="26"/>
  </w:num>
  <w:num w:numId="6">
    <w:abstractNumId w:val="1"/>
  </w:num>
  <w:num w:numId="7">
    <w:abstractNumId w:val="31"/>
  </w:num>
  <w:num w:numId="8">
    <w:abstractNumId w:val="6"/>
  </w:num>
  <w:num w:numId="9">
    <w:abstractNumId w:val="32"/>
  </w:num>
  <w:num w:numId="10">
    <w:abstractNumId w:val="13"/>
  </w:num>
  <w:num w:numId="11">
    <w:abstractNumId w:val="9"/>
  </w:num>
  <w:num w:numId="12">
    <w:abstractNumId w:val="28"/>
  </w:num>
  <w:num w:numId="13">
    <w:abstractNumId w:val="2"/>
  </w:num>
  <w:num w:numId="14">
    <w:abstractNumId w:val="8"/>
  </w:num>
  <w:num w:numId="15">
    <w:abstractNumId w:val="4"/>
  </w:num>
  <w:num w:numId="16">
    <w:abstractNumId w:val="5"/>
  </w:num>
  <w:num w:numId="17">
    <w:abstractNumId w:val="25"/>
  </w:num>
  <w:num w:numId="18">
    <w:abstractNumId w:val="15"/>
  </w:num>
  <w:num w:numId="19">
    <w:abstractNumId w:val="17"/>
  </w:num>
  <w:num w:numId="20">
    <w:abstractNumId w:val="27"/>
  </w:num>
  <w:num w:numId="21">
    <w:abstractNumId w:val="21"/>
  </w:num>
  <w:num w:numId="22">
    <w:abstractNumId w:val="23"/>
  </w:num>
  <w:num w:numId="23">
    <w:abstractNumId w:val="18"/>
  </w:num>
  <w:num w:numId="24">
    <w:abstractNumId w:val="36"/>
  </w:num>
  <w:num w:numId="25">
    <w:abstractNumId w:val="38"/>
  </w:num>
  <w:num w:numId="26">
    <w:abstractNumId w:val="14"/>
  </w:num>
  <w:num w:numId="27">
    <w:abstractNumId w:val="3"/>
  </w:num>
  <w:num w:numId="28">
    <w:abstractNumId w:val="12"/>
  </w:num>
  <w:num w:numId="29">
    <w:abstractNumId w:val="7"/>
  </w:num>
  <w:num w:numId="30">
    <w:abstractNumId w:val="39"/>
  </w:num>
  <w:num w:numId="31">
    <w:abstractNumId w:val="20"/>
  </w:num>
  <w:num w:numId="32">
    <w:abstractNumId w:val="0"/>
  </w:num>
  <w:num w:numId="33">
    <w:abstractNumId w:val="37"/>
  </w:num>
  <w:num w:numId="34">
    <w:abstractNumId w:val="33"/>
  </w:num>
  <w:num w:numId="35">
    <w:abstractNumId w:val="19"/>
  </w:num>
  <w:num w:numId="36">
    <w:abstractNumId w:val="34"/>
  </w:num>
  <w:num w:numId="37">
    <w:abstractNumId w:val="24"/>
  </w:num>
  <w:num w:numId="38">
    <w:abstractNumId w:val="29"/>
  </w:num>
  <w:num w:numId="39">
    <w:abstractNumId w:val="1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38FD"/>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0D79"/>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BB7"/>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4EBC"/>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 w:type="paragraph" w:customStyle="1" w:styleId="2ndLevelBulletList">
    <w:name w:val="2nd Level Bullet List"/>
    <w:basedOn w:val="textfirstpara"/>
    <w:uiPriority w:val="99"/>
    <w:rsid w:val="001938FD"/>
    <w:pPr>
      <w:tabs>
        <w:tab w:val="left" w:pos="780"/>
      </w:tabs>
      <w:suppressAutoHyphens/>
      <w:ind w:left="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2761-A0C5-4DEC-A9F8-C19D1B27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6</cp:revision>
  <cp:lastPrinted>2010-01-08T18:19:00Z</cp:lastPrinted>
  <dcterms:created xsi:type="dcterms:W3CDTF">2015-01-22T23:24:00Z</dcterms:created>
  <dcterms:modified xsi:type="dcterms:W3CDTF">2015-01-23T21:28:00Z</dcterms:modified>
</cp:coreProperties>
</file>