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98" w:rsidRPr="00FF5477" w:rsidRDefault="00185252" w:rsidP="000F3903">
      <w:pPr>
        <w:pStyle w:val="A-BH1"/>
        <w:spacing w:after="48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26.3pt;margin-top:32.25pt;width:42.45pt;height:21.45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DC1A9B" w:rsidRDefault="00DC1A9B">
                  <w:r>
                    <w:rPr>
                      <w:rFonts w:ascii="Wingdings 2" w:eastAsiaTheme="minorHAnsi" w:hAnsi="Wingdings 2" w:cs="Wingdings 2"/>
                      <w:sz w:val="27"/>
                      <w:szCs w:val="27"/>
                    </w:rPr>
                    <w:t>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75pt;margin-top:45.75pt;width:0;height:552.75pt;z-index:251659264" o:connectortype="straight" strokeweight="1.5pt">
            <v:stroke dashstyle="1 1"/>
          </v:shape>
        </w:pict>
      </w:r>
      <w:r>
        <w:rPr>
          <w:noProof/>
        </w:rPr>
        <w:pict>
          <v:rect id="_x0000_s1026" style="position:absolute;margin-left:-9pt;margin-top:45.75pt;width:493.5pt;height:552.75pt;z-index:251658240" filled="f" strokeweight="1.5pt">
            <v:stroke dashstyle="1 1"/>
          </v:rect>
        </w:pict>
      </w:r>
      <w:r w:rsidR="00877598" w:rsidRPr="00FF5477">
        <w:t>A Week That Shook the World</w:t>
      </w:r>
    </w:p>
    <w:p w:rsidR="00DC1A9B" w:rsidRDefault="00DC1A9B" w:rsidP="00DC1A9B">
      <w:pPr>
        <w:pStyle w:val="A-Text"/>
        <w:sectPr w:rsidR="00DC1A9B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877598" w:rsidRPr="00FF5477" w:rsidRDefault="00877598" w:rsidP="00DC1A9B">
      <w:pPr>
        <w:pStyle w:val="A-Text"/>
        <w:spacing w:after="240"/>
      </w:pPr>
      <w:r w:rsidRPr="00FF5477">
        <w:lastRenderedPageBreak/>
        <w:t>The triumphal entry into Jerusalem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28" type="#_x0000_t32" style="position:absolute;margin-left:-9pt;margin-top:8.1pt;width:493.5pt;height:0;z-index:251660288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The preparation of the Passover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29" type="#_x0000_t32" style="position:absolute;margin-left:-9pt;margin-top:7.15pt;width:493.5pt;height:0;z-index:251661312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The anointing at Bethany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0" type="#_x0000_t32" style="position:absolute;margin-left:-9pt;margin-top:5.45pt;width:493.5pt;height:0;z-index:251662336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The Last Supper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1" type="#_x0000_t32" style="position:absolute;margin-left:-9pt;margin-top:4.5pt;width:493.5pt;height:0;z-index:251663360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Jesus washes the feet of the Apostles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2" type="#_x0000_t32" style="position:absolute;margin-left:-9pt;margin-top:5.05pt;width:493.5pt;height:0;z-index:251664384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Jesus predicts Peter’s denial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3" type="#_x0000_t32" style="position:absolute;margin-left:-9pt;margin-top:6.35pt;width:493.5pt;height:0;z-index:251665408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The agony at Gethsemane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4" type="#_x0000_t32" style="position:absolute;margin-left:-9pt;margin-top:4.65pt;width:493.5pt;height:0;z-index:251666432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The arrest of Jesus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5" type="#_x0000_t32" style="position:absolute;margin-left:-9pt;margin-top:5.2pt;width:493.5pt;height:0;z-index:251667456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Judas betrays Jesus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6" type="#_x0000_t32" style="position:absolute;margin-left:-9pt;margin-top:7.25pt;width:493.5pt;height:0;z-index:251668480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Peter denies Jesus</w:t>
      </w:r>
    </w:p>
    <w:p w:rsidR="00877598" w:rsidRPr="00FF5477" w:rsidRDefault="00185252" w:rsidP="00DC1A9B">
      <w:pPr>
        <w:pStyle w:val="A-Text"/>
        <w:spacing w:after="240"/>
      </w:pPr>
      <w:r>
        <w:rPr>
          <w:noProof/>
        </w:rPr>
        <w:pict>
          <v:shape id="_x0000_s1037" type="#_x0000_t32" style="position:absolute;margin-left:-9pt;margin-top:10.05pt;width:493.5pt;height:0;z-index:251669504" o:connectortype="straight" strokeweight="1.5pt">
            <v:stroke dashstyle="1 1"/>
          </v:shape>
        </w:pict>
      </w:r>
    </w:p>
    <w:p w:rsidR="00877598" w:rsidRPr="00FF5477" w:rsidRDefault="00877598" w:rsidP="00DC1A9B">
      <w:pPr>
        <w:pStyle w:val="A-Text"/>
        <w:spacing w:after="240"/>
      </w:pPr>
      <w:r w:rsidRPr="00FF5477">
        <w:t>Jesus appears before the Sanhedrin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lastRenderedPageBreak/>
        <w:t>The scourging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053663" w:rsidP="00DC1A9B">
      <w:pPr>
        <w:pStyle w:val="A-Text"/>
        <w:spacing w:after="240"/>
      </w:pPr>
      <w:r>
        <w:t>Jesus stands before Pilate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Jesus stands before Herod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Jesus is sentenced to death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The suicide of Judas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The crowds call for Barabbas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Simon of Cyrene helps Jesus carry the cross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The Crucifixion</w:t>
      </w:r>
    </w:p>
    <w:p w:rsidR="00877598" w:rsidRPr="00FF5477" w:rsidRDefault="00877598" w:rsidP="00DC1A9B">
      <w:pPr>
        <w:pStyle w:val="A-Text"/>
        <w:spacing w:after="240"/>
      </w:pPr>
    </w:p>
    <w:p w:rsidR="00877598" w:rsidRPr="00FF5477" w:rsidRDefault="00877598" w:rsidP="00DC1A9B">
      <w:pPr>
        <w:pStyle w:val="A-Text"/>
        <w:spacing w:after="240"/>
      </w:pPr>
      <w:r w:rsidRPr="00FF5477">
        <w:t>Jesus dies on the cross</w:t>
      </w:r>
    </w:p>
    <w:p w:rsidR="00877598" w:rsidRPr="00FF5477" w:rsidRDefault="00877598" w:rsidP="00DC1A9B">
      <w:pPr>
        <w:pStyle w:val="A-Text"/>
        <w:spacing w:after="240"/>
      </w:pPr>
    </w:p>
    <w:p w:rsidR="00F31089" w:rsidRPr="00877598" w:rsidRDefault="00877598" w:rsidP="00DC1A9B">
      <w:pPr>
        <w:pStyle w:val="A-Text"/>
        <w:spacing w:after="240"/>
      </w:pPr>
      <w:r w:rsidRPr="00FF5477">
        <w:t>Jesus is buried in the tomb of Joseph of Arimathea</w:t>
      </w:r>
    </w:p>
    <w:sectPr w:rsidR="00F31089" w:rsidRPr="00877598" w:rsidSect="00DC1A9B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52" w:rsidRDefault="00185252" w:rsidP="004D0079">
      <w:r>
        <w:separator/>
      </w:r>
    </w:p>
    <w:p w:rsidR="00185252" w:rsidRDefault="00185252"/>
  </w:endnote>
  <w:endnote w:type="continuationSeparator" w:id="0">
    <w:p w:rsidR="00185252" w:rsidRDefault="00185252" w:rsidP="004D0079">
      <w:r>
        <w:continuationSeparator/>
      </w:r>
    </w:p>
    <w:p w:rsidR="00185252" w:rsidRDefault="00185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8525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87759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40EEF70C" wp14:editId="2A884D32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852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87759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E1ADA" w:rsidRDefault="000F390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A0635BB" wp14:editId="6B48141B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52" w:rsidRDefault="00185252" w:rsidP="004D0079">
      <w:r>
        <w:separator/>
      </w:r>
    </w:p>
    <w:p w:rsidR="00185252" w:rsidRDefault="00185252"/>
  </w:footnote>
  <w:footnote w:type="continuationSeparator" w:id="0">
    <w:p w:rsidR="00185252" w:rsidRDefault="00185252" w:rsidP="004D0079">
      <w:r>
        <w:continuationSeparator/>
      </w:r>
    </w:p>
    <w:p w:rsidR="00185252" w:rsidRDefault="001852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77598" w:rsidP="00142BF1">
    <w:pPr>
      <w:pStyle w:val="A-Header-articletitlepage2"/>
    </w:pPr>
    <w:r>
      <w:t>A Week That Shook the World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3663"/>
    <w:rsid w:val="00056DA9"/>
    <w:rsid w:val="00066AB5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F3903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5252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500FAD"/>
    <w:rsid w:val="0050251D"/>
    <w:rsid w:val="00512FE3"/>
    <w:rsid w:val="00516E92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16823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10D8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C3274"/>
    <w:rsid w:val="009D256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B9B"/>
    <w:rsid w:val="00D80DBD"/>
    <w:rsid w:val="00D82358"/>
    <w:rsid w:val="00D83EE1"/>
    <w:rsid w:val="00D974A5"/>
    <w:rsid w:val="00DB4EA7"/>
    <w:rsid w:val="00DC08C5"/>
    <w:rsid w:val="00DC1A9B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634"/>
    <w:rsid w:val="00EE658A"/>
    <w:rsid w:val="00EF441F"/>
    <w:rsid w:val="00F06D17"/>
    <w:rsid w:val="00F12D85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6"/>
        <o:r id="V:Rule9" type="connector" idref="#_x0000_s1037"/>
        <o:r id="V:Rule10" type="connector" idref="#_x0000_s1034"/>
        <o:r id="V:Rule11" type="connector" idref="#_x0000_s1035"/>
      </o:rules>
    </o:shapelayout>
  </w:shapeDefaults>
  <w:decimalSymbol w:val="."/>
  <w:listSeparator w:val=","/>
  <w15:docId w15:val="{DFAC16BE-1133-44E9-9447-F63A503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B305-7DB4-44A4-9B9B-C8AB5191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2012-10-11T11:53:00Z</dcterms:created>
  <dcterms:modified xsi:type="dcterms:W3CDTF">2012-12-20T01:43:00Z</dcterms:modified>
</cp:coreProperties>
</file>