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2A" w:rsidRPr="006B34B8" w:rsidRDefault="0057272A" w:rsidP="00341007">
      <w:pPr>
        <w:pStyle w:val="A-BH"/>
        <w:spacing w:before="0"/>
        <w:rPr>
          <w:sz w:val="43"/>
          <w:szCs w:val="43"/>
        </w:rPr>
      </w:pPr>
      <w:bookmarkStart w:id="0" w:name="_GoBack"/>
      <w:r w:rsidRPr="006B34B8">
        <w:rPr>
          <w:sz w:val="43"/>
          <w:szCs w:val="43"/>
        </w:rPr>
        <w:t>Rubric for Final Performance Tasks for Unit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57272A" w:rsidRPr="00EA3AD7">
        <w:tc>
          <w:tcPr>
            <w:tcW w:w="1915" w:type="dxa"/>
          </w:tcPr>
          <w:bookmarkEnd w:id="0"/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Criteria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3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2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1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Assignment includes all items requested in the instructions.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includes all items requested, and they are completed above expectations.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includes all items requested.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includes over half of the items requested.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includes less than half of the items requested.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  <w:i/>
                <w:iCs/>
              </w:rPr>
            </w:pPr>
            <w:r w:rsidRPr="00EA3AD7">
              <w:rPr>
                <w:b/>
                <w:bCs/>
              </w:rPr>
              <w:t xml:space="preserve">Assignment shows understanding of the concept </w:t>
            </w:r>
            <w:r w:rsidRPr="00EA3AD7">
              <w:rPr>
                <w:b/>
                <w:bCs/>
                <w:i/>
                <w:iCs/>
              </w:rPr>
              <w:t>Jesus’ suffering, death, and Resurrection form the heart of his saving work on earth.</w:t>
            </w:r>
          </w:p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unusually insightful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good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adequate understanding of this concept.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little understanding of this concept.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  <w:i/>
                <w:iCs/>
              </w:rPr>
            </w:pPr>
            <w:r w:rsidRPr="00EA3AD7">
              <w:rPr>
                <w:b/>
                <w:bCs/>
              </w:rPr>
              <w:t xml:space="preserve">Assignment shows understanding of the concept </w:t>
            </w:r>
            <w:r w:rsidRPr="00EA3AD7">
              <w:rPr>
                <w:b/>
                <w:bCs/>
                <w:i/>
                <w:iCs/>
              </w:rPr>
              <w:t>Jesus’ suffering and death were acts of redemptive love.</w:t>
            </w:r>
          </w:p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unusually insightful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good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adequate understanding of this concept.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little understanding of this concept.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 xml:space="preserve">Assignment shows understanding of the concept </w:t>
            </w:r>
            <w:r w:rsidRPr="00EA3AD7">
              <w:rPr>
                <w:b/>
                <w:bCs/>
                <w:i/>
                <w:iCs/>
              </w:rPr>
              <w:t>the Resurrection of Jesus was not only an historical event, but it also transcends history.</w:t>
            </w:r>
          </w:p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unusually insightful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good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adequate understanding of this concept.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little understanding of this concept.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  <w:i/>
                <w:iCs/>
              </w:rPr>
            </w:pPr>
            <w:r w:rsidRPr="00EA3AD7">
              <w:rPr>
                <w:b/>
                <w:bCs/>
              </w:rPr>
              <w:t xml:space="preserve">Assignment shows understanding of the concept </w:t>
            </w:r>
            <w:r w:rsidRPr="00EA3AD7">
              <w:rPr>
                <w:b/>
                <w:bCs/>
                <w:i/>
                <w:iCs/>
              </w:rPr>
              <w:t>faith in the Resurrection is a defining belief of Christianity.</w:t>
            </w:r>
          </w:p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unusually insightful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good understanding of this concept.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adequate understanding of this concept.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shows little understanding of this concept.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Assignment uses proper grammar, spelling, and or diction.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has no errors in grammar, spelling, and diction.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has one error in grammar, spelling, and diction.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has two errors in grammar, spelling, and diction.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has more than two errors in grammar, spelling, and diction.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Assignment uses its assigned or chosen media effectively.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uses its assigned or chosen media in a way that greatly enhances it.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uses its assigned or chosen media effectively.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uses its assigned or chosen media somewhat effectively.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uses its assigned or chosen media ineffectively.</w:t>
            </w:r>
          </w:p>
        </w:tc>
      </w:tr>
      <w:tr w:rsidR="0057272A" w:rsidRPr="00EA3AD7">
        <w:tc>
          <w:tcPr>
            <w:tcW w:w="1915" w:type="dxa"/>
            <w:vAlign w:val="center"/>
          </w:tcPr>
          <w:p w:rsidR="0057272A" w:rsidRPr="00EA3AD7" w:rsidRDefault="0057272A" w:rsidP="006B34B8">
            <w:pPr>
              <w:pStyle w:val="A-ChartText"/>
              <w:jc w:val="center"/>
              <w:rPr>
                <w:b/>
                <w:bCs/>
              </w:rPr>
            </w:pPr>
            <w:r w:rsidRPr="00EA3AD7">
              <w:rPr>
                <w:b/>
                <w:bCs/>
              </w:rPr>
              <w:t>Assignment is neatly done.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is not only neat but is exceptionally creative.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EA3AD7">
              <w:t>neatly done.</w:t>
            </w:r>
          </w:p>
        </w:tc>
        <w:tc>
          <w:tcPr>
            <w:tcW w:w="1915" w:type="dxa"/>
          </w:tcPr>
          <w:p w:rsidR="0057272A" w:rsidRPr="00EA3AD7" w:rsidRDefault="0057272A" w:rsidP="006B34B8">
            <w:pPr>
              <w:pStyle w:val="A-ChartText"/>
              <w:jc w:val="center"/>
            </w:pPr>
            <w:r w:rsidRPr="00EA3AD7">
              <w:t>Assignment is neat for the most part.</w:t>
            </w:r>
          </w:p>
        </w:tc>
        <w:tc>
          <w:tcPr>
            <w:tcW w:w="1916" w:type="dxa"/>
          </w:tcPr>
          <w:p w:rsidR="0057272A" w:rsidRPr="00EA3AD7" w:rsidRDefault="0057272A" w:rsidP="006B34B8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EA3AD7">
              <w:t>not neat.</w:t>
            </w:r>
          </w:p>
        </w:tc>
      </w:tr>
    </w:tbl>
    <w:p w:rsidR="0057272A" w:rsidRPr="009E15E5" w:rsidRDefault="0057272A" w:rsidP="006B34B8"/>
    <w:sectPr w:rsidR="0057272A" w:rsidRPr="009E15E5" w:rsidSect="009513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2A" w:rsidRDefault="0057272A" w:rsidP="004D0079">
      <w:r>
        <w:separator/>
      </w:r>
    </w:p>
    <w:p w:rsidR="0057272A" w:rsidRDefault="0057272A"/>
  </w:endnote>
  <w:endnote w:type="continuationSeparator" w:id="1">
    <w:p w:rsidR="0057272A" w:rsidRDefault="0057272A" w:rsidP="004D0079">
      <w:r>
        <w:continuationSeparator/>
      </w:r>
    </w:p>
    <w:p w:rsidR="0057272A" w:rsidRDefault="005727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2A" w:rsidRPr="00F82D2A" w:rsidRDefault="0057272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7272A" w:rsidRPr="004E5BA3" w:rsidRDefault="0057272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E5BA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7272A" w:rsidRPr="000318AE" w:rsidRDefault="0057272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E5BA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E5BA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E5B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2341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TX001384</w:t>
                </w:r>
              </w:p>
              <w:p w:rsidR="0057272A" w:rsidRPr="000318AE" w:rsidRDefault="0057272A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2A" w:rsidRDefault="005727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7272A" w:rsidRPr="004E5BA3" w:rsidRDefault="0057272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E5BA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7272A" w:rsidRPr="000318AE" w:rsidRDefault="0057272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E5BA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E5BA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E5B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2341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TX001384</w:t>
                </w:r>
              </w:p>
              <w:p w:rsidR="0057272A" w:rsidRPr="000E1ADA" w:rsidRDefault="0057272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2A" w:rsidRDefault="0057272A" w:rsidP="004D0079">
      <w:r>
        <w:separator/>
      </w:r>
    </w:p>
    <w:p w:rsidR="0057272A" w:rsidRDefault="0057272A"/>
  </w:footnote>
  <w:footnote w:type="continuationSeparator" w:id="1">
    <w:p w:rsidR="0057272A" w:rsidRDefault="0057272A" w:rsidP="004D0079">
      <w:r>
        <w:continuationSeparator/>
      </w:r>
    </w:p>
    <w:p w:rsidR="0057272A" w:rsidRDefault="005727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2A" w:rsidRDefault="0057272A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57272A" w:rsidRDefault="0057272A"/>
  <w:p w:rsidR="0057272A" w:rsidRDefault="005727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2A" w:rsidRPr="0032341F" w:rsidRDefault="0057272A" w:rsidP="0032341F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060F"/>
    <w:rsid w:val="001D73D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5F92"/>
    <w:rsid w:val="002F78AB"/>
    <w:rsid w:val="00303613"/>
    <w:rsid w:val="003037EB"/>
    <w:rsid w:val="0031278E"/>
    <w:rsid w:val="003145A2"/>
    <w:rsid w:val="00315221"/>
    <w:rsid w:val="003157D0"/>
    <w:rsid w:val="00316CDE"/>
    <w:rsid w:val="0032341F"/>
    <w:rsid w:val="003236A3"/>
    <w:rsid w:val="00326542"/>
    <w:rsid w:val="003365CF"/>
    <w:rsid w:val="00340334"/>
    <w:rsid w:val="00341007"/>
    <w:rsid w:val="003477AC"/>
    <w:rsid w:val="0037014E"/>
    <w:rsid w:val="003739CB"/>
    <w:rsid w:val="00375A09"/>
    <w:rsid w:val="0038139E"/>
    <w:rsid w:val="003B0E7A"/>
    <w:rsid w:val="003D381C"/>
    <w:rsid w:val="003E24F6"/>
    <w:rsid w:val="003F5CF4"/>
    <w:rsid w:val="003F5E10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4067"/>
    <w:rsid w:val="004E5BA3"/>
    <w:rsid w:val="004E5DFC"/>
    <w:rsid w:val="004F0FDB"/>
    <w:rsid w:val="00500FAD"/>
    <w:rsid w:val="0050251D"/>
    <w:rsid w:val="00512FE3"/>
    <w:rsid w:val="0051687E"/>
    <w:rsid w:val="00545244"/>
    <w:rsid w:val="00555CB8"/>
    <w:rsid w:val="00555EA6"/>
    <w:rsid w:val="0057272A"/>
    <w:rsid w:val="0058460F"/>
    <w:rsid w:val="005A4359"/>
    <w:rsid w:val="005A6944"/>
    <w:rsid w:val="005B378A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4B8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4E03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C5CD4"/>
    <w:rsid w:val="007D41EB"/>
    <w:rsid w:val="007E01EA"/>
    <w:rsid w:val="007F14E0"/>
    <w:rsid w:val="007F1D2D"/>
    <w:rsid w:val="007F6C7D"/>
    <w:rsid w:val="008111FA"/>
    <w:rsid w:val="00811A84"/>
    <w:rsid w:val="00813FAB"/>
    <w:rsid w:val="00820449"/>
    <w:rsid w:val="00847B4C"/>
    <w:rsid w:val="008541FB"/>
    <w:rsid w:val="0085547F"/>
    <w:rsid w:val="00861A93"/>
    <w:rsid w:val="008747FC"/>
    <w:rsid w:val="008815E1"/>
    <w:rsid w:val="00883D20"/>
    <w:rsid w:val="008A5FEE"/>
    <w:rsid w:val="008B14A0"/>
    <w:rsid w:val="008C2FC3"/>
    <w:rsid w:val="008D10BC"/>
    <w:rsid w:val="008E5485"/>
    <w:rsid w:val="008F12F7"/>
    <w:rsid w:val="008F22A0"/>
    <w:rsid w:val="008F58B2"/>
    <w:rsid w:val="008F7AA8"/>
    <w:rsid w:val="009064EC"/>
    <w:rsid w:val="00933E81"/>
    <w:rsid w:val="00945A73"/>
    <w:rsid w:val="00951390"/>
    <w:rsid w:val="009563C5"/>
    <w:rsid w:val="00972002"/>
    <w:rsid w:val="00977FEE"/>
    <w:rsid w:val="00997818"/>
    <w:rsid w:val="009D36BA"/>
    <w:rsid w:val="009E00C3"/>
    <w:rsid w:val="009E15E5"/>
    <w:rsid w:val="009F2BD3"/>
    <w:rsid w:val="00A0079B"/>
    <w:rsid w:val="00A00D1F"/>
    <w:rsid w:val="00A072A2"/>
    <w:rsid w:val="00A13B86"/>
    <w:rsid w:val="00A227F9"/>
    <w:rsid w:val="00A234BF"/>
    <w:rsid w:val="00A4340C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1E1"/>
    <w:rsid w:val="00A82B01"/>
    <w:rsid w:val="00A8313D"/>
    <w:rsid w:val="00A84DF8"/>
    <w:rsid w:val="00A86550"/>
    <w:rsid w:val="00A931FF"/>
    <w:rsid w:val="00AA7F49"/>
    <w:rsid w:val="00AB7193"/>
    <w:rsid w:val="00AD6ABA"/>
    <w:rsid w:val="00AD6F0C"/>
    <w:rsid w:val="00AD7A51"/>
    <w:rsid w:val="00AF2A78"/>
    <w:rsid w:val="00AF4B1B"/>
    <w:rsid w:val="00AF64D0"/>
    <w:rsid w:val="00B115AC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3E8B"/>
    <w:rsid w:val="00B72A37"/>
    <w:rsid w:val="00B738D1"/>
    <w:rsid w:val="00BA32E8"/>
    <w:rsid w:val="00BC1E13"/>
    <w:rsid w:val="00BC4453"/>
    <w:rsid w:val="00BD06B0"/>
    <w:rsid w:val="00BE1C44"/>
    <w:rsid w:val="00BE3E0E"/>
    <w:rsid w:val="00BE6B5C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07BD5"/>
    <w:rsid w:val="00D105EA"/>
    <w:rsid w:val="00D14D22"/>
    <w:rsid w:val="00D2214F"/>
    <w:rsid w:val="00D33298"/>
    <w:rsid w:val="00D45298"/>
    <w:rsid w:val="00D57D5E"/>
    <w:rsid w:val="00D617E5"/>
    <w:rsid w:val="00D64EB1"/>
    <w:rsid w:val="00D80DBD"/>
    <w:rsid w:val="00D82358"/>
    <w:rsid w:val="00D83EE1"/>
    <w:rsid w:val="00D974A5"/>
    <w:rsid w:val="00DB4EA7"/>
    <w:rsid w:val="00DC08C5"/>
    <w:rsid w:val="00DC2CAB"/>
    <w:rsid w:val="00DD28A2"/>
    <w:rsid w:val="00E02EAF"/>
    <w:rsid w:val="00E069BA"/>
    <w:rsid w:val="00E10688"/>
    <w:rsid w:val="00E12E92"/>
    <w:rsid w:val="00E16237"/>
    <w:rsid w:val="00E2045E"/>
    <w:rsid w:val="00E2652B"/>
    <w:rsid w:val="00E43BE7"/>
    <w:rsid w:val="00E7545A"/>
    <w:rsid w:val="00EA3AD7"/>
    <w:rsid w:val="00EB1125"/>
    <w:rsid w:val="00EC358B"/>
    <w:rsid w:val="00EC52EC"/>
    <w:rsid w:val="00EE07AB"/>
    <w:rsid w:val="00EE0D45"/>
    <w:rsid w:val="00EE658A"/>
    <w:rsid w:val="00EF441F"/>
    <w:rsid w:val="00F06D17"/>
    <w:rsid w:val="00F15AB5"/>
    <w:rsid w:val="00F352E1"/>
    <w:rsid w:val="00F40A11"/>
    <w:rsid w:val="00F443B7"/>
    <w:rsid w:val="00F447FB"/>
    <w:rsid w:val="00F55566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B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B34B8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6B34B8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B34B8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B34B8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B34B8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B34B8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B34B8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6B34B8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B34B8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6B34B8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B34B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B34B8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B34B8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B34B8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B34B8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B34B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B34B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B34B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B34B8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B34B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B34B8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6B34B8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B34B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6B34B8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B34B8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6B34B8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B34B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B34B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B34B8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B34B8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B34B8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B34B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B34B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B34B8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B34B8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B34B8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B34B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B34B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B34B8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B34B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B34B8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B34B8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B34B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B34B8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B34B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B34B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1"/>
    <w:uiPriority w:val="99"/>
    <w:locked/>
    <w:rsid w:val="00375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52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75A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6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6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388</Words>
  <Characters>2215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2010-07-22T18:28:00Z</dcterms:created>
  <dcterms:modified xsi:type="dcterms:W3CDTF">2010-10-24T19:07:00Z</dcterms:modified>
</cp:coreProperties>
</file>