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E" w:rsidRPr="00D13DDE" w:rsidRDefault="005B221A" w:rsidP="005B221A">
      <w:pPr>
        <w:pStyle w:val="A-BH"/>
      </w:pPr>
      <w:r>
        <w:t xml:space="preserve">Chapter 45 Activity: </w:t>
      </w:r>
      <w:r w:rsidR="00D13DDE" w:rsidRPr="00D13DDE">
        <w:t>The Two Feet of Service and Justice</w:t>
      </w:r>
    </w:p>
    <w:p w:rsidR="00D13DDE" w:rsidRPr="00D13DDE" w:rsidRDefault="00D13DDE" w:rsidP="004E003F">
      <w:pPr>
        <w:pStyle w:val="A-Text"/>
      </w:pPr>
      <w:r w:rsidRPr="00D13DDE">
        <w:t xml:space="preserve">Caring for others involves both acts of charity and acts of justice. Review the illustration on page </w:t>
      </w:r>
      <w:r w:rsidR="00E04CF5">
        <w:t>498</w:t>
      </w:r>
      <w:r w:rsidRPr="00D13DDE">
        <w:t xml:space="preserve"> </w:t>
      </w:r>
      <w:r w:rsidR="0002310A">
        <w:t xml:space="preserve">in the handbook, and </w:t>
      </w:r>
      <w:r w:rsidRPr="00D13DDE">
        <w:t>then complete the following chart. For every person or group of people in need described in the left-hand column, provide one example of an act of charity you can do to help, and one action of social justice you can undertake to address the problem.</w:t>
      </w:r>
    </w:p>
    <w:p w:rsidR="00D13DDE" w:rsidRDefault="00D13DDE" w:rsidP="00D13DDE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E003F" w:rsidTr="004E003F">
        <w:trPr>
          <w:trHeight w:val="593"/>
        </w:trPr>
        <w:tc>
          <w:tcPr>
            <w:tcW w:w="3192" w:type="dxa"/>
            <w:vAlign w:val="center"/>
          </w:tcPr>
          <w:p w:rsidR="004E003F" w:rsidRPr="004E003F" w:rsidRDefault="004E003F" w:rsidP="004E003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" w:hAnsi="Arial" w:cs="Arial"/>
                <w:sz w:val="20"/>
              </w:rPr>
            </w:pPr>
            <w:r w:rsidRPr="004E003F">
              <w:rPr>
                <w:rFonts w:ascii="Arial" w:eastAsia="Times" w:hAnsi="Arial" w:cs="Arial"/>
                <w:b/>
                <w:sz w:val="20"/>
              </w:rPr>
              <w:t>Person(s) in need</w:t>
            </w:r>
          </w:p>
        </w:tc>
        <w:tc>
          <w:tcPr>
            <w:tcW w:w="3192" w:type="dxa"/>
            <w:vAlign w:val="center"/>
          </w:tcPr>
          <w:p w:rsidR="004E003F" w:rsidRPr="004E003F" w:rsidRDefault="004E003F" w:rsidP="004E003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" w:hAnsi="Arial" w:cs="Arial"/>
                <w:sz w:val="20"/>
              </w:rPr>
            </w:pPr>
            <w:r w:rsidRPr="004E003F">
              <w:rPr>
                <w:rFonts w:ascii="Arial" w:eastAsia="Times" w:hAnsi="Arial" w:cs="Arial"/>
                <w:b/>
                <w:sz w:val="20"/>
              </w:rPr>
              <w:t>An act of charity</w:t>
            </w:r>
          </w:p>
        </w:tc>
        <w:tc>
          <w:tcPr>
            <w:tcW w:w="3192" w:type="dxa"/>
            <w:vAlign w:val="center"/>
          </w:tcPr>
          <w:p w:rsidR="004E003F" w:rsidRPr="004E003F" w:rsidRDefault="004E003F" w:rsidP="004E003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Times" w:hAnsi="Arial" w:cs="Arial"/>
                <w:sz w:val="20"/>
              </w:rPr>
            </w:pPr>
            <w:r w:rsidRPr="004E003F">
              <w:rPr>
                <w:rFonts w:ascii="Arial" w:eastAsia="Times" w:hAnsi="Arial" w:cs="Arial"/>
                <w:b/>
                <w:sz w:val="20"/>
              </w:rPr>
              <w:t>An act of social justice</w:t>
            </w:r>
          </w:p>
        </w:tc>
      </w:tr>
      <w:tr w:rsidR="004E003F" w:rsidTr="004E003F">
        <w:trPr>
          <w:trHeight w:val="1440"/>
        </w:trPr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Pr="004E003F" w:rsidRDefault="004E003F" w:rsidP="004E003F">
            <w:pPr>
              <w:pStyle w:val="A-Text"/>
            </w:pPr>
            <w:r w:rsidRPr="00D13DDE">
              <w:t>A local family unable to pay</w:t>
            </w:r>
            <w:r>
              <w:t xml:space="preserve"> </w:t>
            </w:r>
            <w:r w:rsidRPr="00D13DDE">
              <w:t>for their basic needs because</w:t>
            </w:r>
            <w:r>
              <w:t xml:space="preserve"> </w:t>
            </w:r>
            <w:r w:rsidRPr="00D13DDE">
              <w:t>of the high cost of caring for</w:t>
            </w:r>
            <w:r>
              <w:t xml:space="preserve"> </w:t>
            </w:r>
            <w:r w:rsidRPr="00D13DDE">
              <w:t>a sick family member</w:t>
            </w:r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</w:tr>
      <w:tr w:rsidR="004E003F" w:rsidTr="004E003F">
        <w:trPr>
          <w:trHeight w:val="1440"/>
        </w:trPr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Pr="004E003F" w:rsidRDefault="004E003F" w:rsidP="004E003F">
            <w:pPr>
              <w:pStyle w:val="A-Text"/>
            </w:pPr>
            <w:r w:rsidRPr="00D13DDE">
              <w:t>A community in a developing</w:t>
            </w:r>
            <w:r>
              <w:t xml:space="preserve"> </w:t>
            </w:r>
            <w:r w:rsidRPr="00D13DDE">
              <w:t>nation where children do</w:t>
            </w:r>
            <w:r>
              <w:t xml:space="preserve"> </w:t>
            </w:r>
            <w:r w:rsidRPr="00D13DDE">
              <w:t>not receive any schooling</w:t>
            </w:r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</w:tr>
      <w:tr w:rsidR="004E003F" w:rsidTr="004E003F">
        <w:trPr>
          <w:trHeight w:val="1440"/>
        </w:trPr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Pr="004E003F" w:rsidRDefault="004E003F" w:rsidP="004E003F">
            <w:pPr>
              <w:pStyle w:val="A-Text"/>
            </w:pPr>
            <w:r w:rsidRPr="00D13DDE">
              <w:t>A student who is routinely</w:t>
            </w:r>
            <w:r>
              <w:t xml:space="preserve"> </w:t>
            </w:r>
            <w:r w:rsidRPr="00D13DDE">
              <w:t>bullied by classmates</w:t>
            </w:r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</w:tr>
      <w:tr w:rsidR="004E003F" w:rsidTr="004E003F">
        <w:trPr>
          <w:trHeight w:val="1440"/>
        </w:trPr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Pr="004E003F" w:rsidRDefault="004E003F" w:rsidP="004E003F">
            <w:pPr>
              <w:pStyle w:val="A-Text"/>
              <w:rPr>
                <w:color w:val="000000"/>
              </w:rPr>
            </w:pPr>
            <w:r w:rsidRPr="00D13DDE">
              <w:t>Workers who work in “sweatshop”</w:t>
            </w:r>
            <w:r>
              <w:t xml:space="preserve"> c</w:t>
            </w:r>
            <w:r w:rsidRPr="00D13DDE">
              <w:t>onditions for below-subsistence</w:t>
            </w:r>
            <w:r>
              <w:t xml:space="preserve"> </w:t>
            </w:r>
            <w:r w:rsidRPr="00D13DDE">
              <w:t>wages</w:t>
            </w:r>
            <w:bookmarkStart w:id="0" w:name="_GoBack"/>
            <w:bookmarkEnd w:id="0"/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  <w:tc>
          <w:tcPr>
            <w:tcW w:w="319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E003F" w:rsidRDefault="004E003F" w:rsidP="00D13DDE">
            <w:pPr>
              <w:autoSpaceDE w:val="0"/>
              <w:autoSpaceDN w:val="0"/>
              <w:adjustRightInd w:val="0"/>
              <w:spacing w:line="480" w:lineRule="auto"/>
              <w:rPr>
                <w:rFonts w:ascii="Book Antiqua" w:eastAsia="Times" w:hAnsi="Book Antiqua" w:cs="AGaramondPro-Regular"/>
                <w:szCs w:val="24"/>
              </w:rPr>
            </w:pPr>
          </w:p>
        </w:tc>
      </w:tr>
    </w:tbl>
    <w:p w:rsidR="004E003F" w:rsidRPr="00D13DDE" w:rsidRDefault="004E003F" w:rsidP="00D13DDE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</w:p>
    <w:p w:rsidR="00D13DDE" w:rsidRPr="00D13DDE" w:rsidRDefault="00D13DDE" w:rsidP="004E003F">
      <w:pPr>
        <w:pStyle w:val="A-ChartHeads"/>
      </w:pPr>
      <w:r w:rsidRPr="00D13DDE">
        <w:tab/>
      </w:r>
      <w:r w:rsidRPr="00D13DDE">
        <w:tab/>
      </w:r>
      <w:r w:rsidRPr="00D13DDE">
        <w:tab/>
      </w:r>
      <w:r w:rsidRPr="00D13DDE">
        <w:tab/>
      </w:r>
    </w:p>
    <w:p w:rsidR="00D13DDE" w:rsidRPr="00D13DDE" w:rsidRDefault="00D13DDE" w:rsidP="00D13DDE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</w:p>
    <w:p w:rsidR="00D13DDE" w:rsidRPr="00D13DDE" w:rsidRDefault="00D13DDE" w:rsidP="004E003F">
      <w:pPr>
        <w:pStyle w:val="A-Text"/>
      </w:pPr>
    </w:p>
    <w:p w:rsidR="00D13DDE" w:rsidRPr="00D13DDE" w:rsidRDefault="00D13DDE" w:rsidP="004E003F">
      <w:pPr>
        <w:pStyle w:val="A-Text"/>
      </w:pPr>
    </w:p>
    <w:p w:rsidR="00D13DDE" w:rsidRPr="00D13DDE" w:rsidRDefault="00D13DDE" w:rsidP="004E003F">
      <w:pPr>
        <w:pStyle w:val="A-Text"/>
      </w:pPr>
    </w:p>
    <w:sectPr w:rsidR="00D13DDE" w:rsidRPr="00D13DD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511" w:rsidRDefault="00D11511" w:rsidP="004D0079">
      <w:r>
        <w:separator/>
      </w:r>
    </w:p>
    <w:p w:rsidR="00D11511" w:rsidRDefault="00D11511"/>
  </w:endnote>
  <w:endnote w:type="continuationSeparator" w:id="0">
    <w:p w:rsidR="00D11511" w:rsidRDefault="00D11511" w:rsidP="004D0079">
      <w:r>
        <w:continuationSeparator/>
      </w:r>
    </w:p>
    <w:p w:rsidR="00D11511" w:rsidRDefault="00D115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92113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744F4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44F4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003623</w:t>
                </w:r>
              </w:p>
              <w:p w:rsidR="00C17FA6" w:rsidRPr="00B00E4D" w:rsidRDefault="00C17FA6" w:rsidP="00C17FA6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92113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1" type="#_x0000_t202" style="position:absolute;margin-left:36.35pt;margin-top:2.9pt;width:442.15pt;height:4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B221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44F4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44F4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003623</w:t>
                </w:r>
              </w:p>
              <w:p w:rsidR="00C17FA6" w:rsidRPr="00B00E4D" w:rsidRDefault="00C17FA6" w:rsidP="00C17FA6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511" w:rsidRDefault="00D11511" w:rsidP="004D0079">
      <w:r>
        <w:separator/>
      </w:r>
    </w:p>
    <w:p w:rsidR="00D11511" w:rsidRDefault="00D11511"/>
  </w:footnote>
  <w:footnote w:type="continuationSeparator" w:id="0">
    <w:p w:rsidR="00D11511" w:rsidRDefault="00D11511" w:rsidP="004D0079">
      <w:r>
        <w:continuationSeparator/>
      </w:r>
    </w:p>
    <w:p w:rsidR="00D11511" w:rsidRDefault="00D1151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D13DDE">
      <w:t>45</w:t>
    </w:r>
    <w:r>
      <w:t xml:space="preserve"> Activity: </w:t>
    </w:r>
    <w:r w:rsidR="00D13DDE">
      <w:t>The Two Feet of Service and Justice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310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4FD2"/>
    <w:rsid w:val="00416A83"/>
    <w:rsid w:val="00423B78"/>
    <w:rsid w:val="004311A3"/>
    <w:rsid w:val="00454A1D"/>
    <w:rsid w:val="00460918"/>
    <w:rsid w:val="00472179"/>
    <w:rsid w:val="00475571"/>
    <w:rsid w:val="0047780D"/>
    <w:rsid w:val="004901FF"/>
    <w:rsid w:val="004A3116"/>
    <w:rsid w:val="004A7DE2"/>
    <w:rsid w:val="004B52FA"/>
    <w:rsid w:val="004C5561"/>
    <w:rsid w:val="004D0079"/>
    <w:rsid w:val="004D74F6"/>
    <w:rsid w:val="004D7A2E"/>
    <w:rsid w:val="004E003F"/>
    <w:rsid w:val="004E061B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221A"/>
    <w:rsid w:val="005B58E2"/>
    <w:rsid w:val="005E0C08"/>
    <w:rsid w:val="005F599B"/>
    <w:rsid w:val="0060248C"/>
    <w:rsid w:val="006067CC"/>
    <w:rsid w:val="006140A2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D71CF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4F4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6090"/>
    <w:rsid w:val="00817ECA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1F76"/>
    <w:rsid w:val="008C2FC3"/>
    <w:rsid w:val="008D10BC"/>
    <w:rsid w:val="008F12F7"/>
    <w:rsid w:val="008F22A0"/>
    <w:rsid w:val="008F58B2"/>
    <w:rsid w:val="009064EC"/>
    <w:rsid w:val="0091671F"/>
    <w:rsid w:val="009176BC"/>
    <w:rsid w:val="00921131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7696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7FA6"/>
    <w:rsid w:val="00C3410A"/>
    <w:rsid w:val="00C34806"/>
    <w:rsid w:val="00C3609F"/>
    <w:rsid w:val="00C4361D"/>
    <w:rsid w:val="00C50BCE"/>
    <w:rsid w:val="00C6161A"/>
    <w:rsid w:val="00C7332C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1511"/>
    <w:rsid w:val="00D13DDE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4CF5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087F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53495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4E0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B98E-C40B-45D8-8711-4F574B49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12</cp:revision>
  <cp:lastPrinted>2010-01-08T18:19:00Z</cp:lastPrinted>
  <dcterms:created xsi:type="dcterms:W3CDTF">2013-04-12T14:29:00Z</dcterms:created>
  <dcterms:modified xsi:type="dcterms:W3CDTF">2013-09-20T17:05:00Z</dcterms:modified>
</cp:coreProperties>
</file>