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49" w:rsidRPr="001C13AF" w:rsidRDefault="00A55249" w:rsidP="001C13AF">
      <w:pPr>
        <w:pStyle w:val="A-BH"/>
      </w:pPr>
      <w:r w:rsidRPr="00A97B97">
        <w:t xml:space="preserve">What’s </w:t>
      </w:r>
      <w:r>
        <w:t>i</w:t>
      </w:r>
      <w:r w:rsidRPr="00A97B97">
        <w:t>n a Name? The Dynamism of the Eucharist</w:t>
      </w:r>
    </w:p>
    <w:tbl>
      <w:tblPr>
        <w:tblW w:w="133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0"/>
        <w:gridCol w:w="4618"/>
        <w:gridCol w:w="5706"/>
      </w:tblGrid>
      <w:tr w:rsidR="00A55249" w:rsidRPr="00AB55B0">
        <w:trPr>
          <w:trHeight w:val="511"/>
        </w:trPr>
        <w:tc>
          <w:tcPr>
            <w:tcW w:w="2980" w:type="dxa"/>
          </w:tcPr>
          <w:p w:rsidR="00A55249" w:rsidRPr="00AB55B0" w:rsidRDefault="00A55249" w:rsidP="001C13AF">
            <w:pPr>
              <w:pStyle w:val="A-ChartHeads"/>
              <w:rPr>
                <w:rFonts w:cs="Times New Roman"/>
              </w:rPr>
            </w:pPr>
            <w:r w:rsidRPr="00AB55B0">
              <w:t>Name</w:t>
            </w:r>
          </w:p>
        </w:tc>
        <w:tc>
          <w:tcPr>
            <w:tcW w:w="4618" w:type="dxa"/>
          </w:tcPr>
          <w:p w:rsidR="00A55249" w:rsidRPr="00AB55B0" w:rsidRDefault="00A55249" w:rsidP="001C13AF">
            <w:pPr>
              <w:pStyle w:val="A-ChartHeads"/>
            </w:pPr>
            <w:r w:rsidRPr="00AB55B0">
              <w:t>History of / Basis for Name</w:t>
            </w:r>
          </w:p>
        </w:tc>
        <w:tc>
          <w:tcPr>
            <w:tcW w:w="5706" w:type="dxa"/>
          </w:tcPr>
          <w:p w:rsidR="00A55249" w:rsidRPr="00AB55B0" w:rsidRDefault="00A55249" w:rsidP="001C13AF">
            <w:pPr>
              <w:pStyle w:val="A-ChartHeads"/>
            </w:pPr>
            <w:r w:rsidRPr="00AB55B0">
              <w:t>Dynamic Action Revealed by the Name</w:t>
            </w:r>
          </w:p>
        </w:tc>
      </w:tr>
      <w:tr w:rsidR="00A55249" w:rsidRPr="00AB55B0">
        <w:trPr>
          <w:trHeight w:val="511"/>
        </w:trPr>
        <w:tc>
          <w:tcPr>
            <w:tcW w:w="2980" w:type="dxa"/>
          </w:tcPr>
          <w:p w:rsidR="00A55249" w:rsidRPr="00AB55B0" w:rsidRDefault="00726428" w:rsidP="001C13AF">
            <w:pPr>
              <w:pStyle w:val="A-ChartHeads"/>
              <w:rPr>
                <w:bCs/>
              </w:rPr>
            </w:pPr>
            <w:r w:rsidRPr="00AB55B0">
              <w:rPr>
                <w:bCs/>
              </w:rPr>
              <w:t xml:space="preserve">The </w:t>
            </w:r>
            <w:r w:rsidR="00A55249" w:rsidRPr="00AB55B0">
              <w:rPr>
                <w:bCs/>
              </w:rPr>
              <w:t>Eucharist</w:t>
            </w:r>
          </w:p>
          <w:p w:rsidR="00A55249" w:rsidRPr="00AB55B0" w:rsidRDefault="00A55249" w:rsidP="001C13AF">
            <w:pPr>
              <w:pStyle w:val="A-ChartHeads"/>
              <w:rPr>
                <w:rFonts w:cs="Times New Roman"/>
                <w:bCs/>
              </w:rPr>
            </w:pPr>
          </w:p>
        </w:tc>
        <w:tc>
          <w:tcPr>
            <w:tcW w:w="4618" w:type="dxa"/>
          </w:tcPr>
          <w:p w:rsidR="00A55249" w:rsidRPr="00AB55B0" w:rsidRDefault="00A55249" w:rsidP="00726428">
            <w:pPr>
              <w:pStyle w:val="A-ChartText"/>
              <w:ind w:left="186" w:hanging="186"/>
            </w:pPr>
            <w:r w:rsidRPr="00AB55B0">
              <w:t>•</w:t>
            </w:r>
            <w:r w:rsidR="00726428" w:rsidRPr="00AB55B0">
              <w:t xml:space="preserve">  </w:t>
            </w:r>
            <w:r w:rsidRPr="00AB55B0">
              <w:t xml:space="preserve">comes from Greek word </w:t>
            </w:r>
            <w:proofErr w:type="spellStart"/>
            <w:r w:rsidRPr="00AB55B0">
              <w:rPr>
                <w:i/>
                <w:iCs/>
              </w:rPr>
              <w:t>eucharistein</w:t>
            </w:r>
            <w:proofErr w:type="spellEnd"/>
            <w:r w:rsidR="00726428" w:rsidRPr="00AB55B0">
              <w:rPr>
                <w:i/>
                <w:iCs/>
              </w:rPr>
              <w:t>,</w:t>
            </w:r>
            <w:r w:rsidR="00726428" w:rsidRPr="00AB55B0">
              <w:t xml:space="preserve"> meaning</w:t>
            </w:r>
            <w:r w:rsidRPr="00AB55B0">
              <w:t xml:space="preserve"> “thanksgiving”</w:t>
            </w:r>
          </w:p>
          <w:p w:rsidR="00A55249" w:rsidRPr="00AB55B0" w:rsidRDefault="00A55249" w:rsidP="00726428">
            <w:pPr>
              <w:pStyle w:val="A-ChartText"/>
              <w:ind w:left="186" w:hanging="186"/>
            </w:pPr>
            <w:r w:rsidRPr="00AB55B0">
              <w:t>•</w:t>
            </w:r>
            <w:r w:rsidR="00726428" w:rsidRPr="00AB55B0">
              <w:t xml:space="preserve">  </w:t>
            </w:r>
            <w:r w:rsidRPr="00AB55B0">
              <w:t xml:space="preserve">related to the idea of “blessing” because Jesus took, </w:t>
            </w:r>
            <w:r w:rsidRPr="00AB55B0">
              <w:rPr>
                <w:i/>
                <w:iCs/>
              </w:rPr>
              <w:t>blessed</w:t>
            </w:r>
            <w:r w:rsidRPr="00AB55B0">
              <w:t xml:space="preserve">, broke, and gave the bread; the Jewish </w:t>
            </w:r>
            <w:proofErr w:type="spellStart"/>
            <w:r w:rsidRPr="00AB55B0">
              <w:rPr>
                <w:i/>
                <w:iCs/>
              </w:rPr>
              <w:t>berakah</w:t>
            </w:r>
            <w:proofErr w:type="spellEnd"/>
            <w:r w:rsidRPr="00AB55B0">
              <w:t>, integral to the Eucharist, is a blessing that acknowledges God’s presence and continued saving action</w:t>
            </w:r>
          </w:p>
        </w:tc>
        <w:tc>
          <w:tcPr>
            <w:tcW w:w="5706" w:type="dxa"/>
          </w:tcPr>
          <w:p w:rsidR="00DC0F3A" w:rsidRPr="00AB55B0" w:rsidRDefault="00DC0F3A" w:rsidP="00DC0F3A">
            <w:pPr>
              <w:pStyle w:val="A-ChartText"/>
              <w:ind w:left="158" w:hanging="180"/>
            </w:pPr>
            <w:proofErr w:type="gramStart"/>
            <w:r w:rsidRPr="00AB55B0">
              <w:t xml:space="preserve">•  </w:t>
            </w:r>
            <w:r w:rsidR="00A55249" w:rsidRPr="00AB55B0">
              <w:t>God’s</w:t>
            </w:r>
            <w:proofErr w:type="gramEnd"/>
            <w:r w:rsidR="00A55249" w:rsidRPr="00AB55B0">
              <w:t xml:space="preserve"> action? actions that reveal God’s active presence in Jewish and Christian traditions = giving thanks and blessing</w:t>
            </w:r>
          </w:p>
          <w:p w:rsidR="00A55249" w:rsidRPr="00AB55B0" w:rsidRDefault="00DC0F3A" w:rsidP="00DC0F3A">
            <w:pPr>
              <w:pStyle w:val="A-ChartText"/>
              <w:ind w:left="158" w:hanging="180"/>
            </w:pPr>
            <w:proofErr w:type="gramStart"/>
            <w:r w:rsidRPr="00AB55B0">
              <w:t>•</w:t>
            </w:r>
            <w:r w:rsidRPr="00AB55B0">
              <w:t xml:space="preserve">  </w:t>
            </w:r>
            <w:r w:rsidR="00A55249" w:rsidRPr="00AB55B0">
              <w:t>Why</w:t>
            </w:r>
            <w:proofErr w:type="gramEnd"/>
            <w:r w:rsidR="00A55249" w:rsidRPr="00AB55B0">
              <w:t>? God gave us everything = blessed us (saved us!); continu</w:t>
            </w:r>
            <w:r w:rsidR="00726428" w:rsidRPr="00AB55B0">
              <w:t>es to do same in present moment</w:t>
            </w:r>
          </w:p>
          <w:p w:rsidR="00A55249" w:rsidRPr="00AB55B0" w:rsidRDefault="00DC0F3A" w:rsidP="00DC0F3A">
            <w:pPr>
              <w:pStyle w:val="A-ChartText"/>
              <w:ind w:left="158" w:hanging="180"/>
            </w:pPr>
            <w:proofErr w:type="gramStart"/>
            <w:r w:rsidRPr="00AB55B0">
              <w:t xml:space="preserve">•  </w:t>
            </w:r>
            <w:r w:rsidR="00A55249" w:rsidRPr="00AB55B0">
              <w:t>Our</w:t>
            </w:r>
            <w:proofErr w:type="gramEnd"/>
            <w:r w:rsidR="00A55249" w:rsidRPr="00AB55B0">
              <w:t xml:space="preserve"> response? action of thanking and blessing God in return through participation in </w:t>
            </w:r>
            <w:r w:rsidR="00726428" w:rsidRPr="00AB55B0">
              <w:t xml:space="preserve">the </w:t>
            </w:r>
            <w:r w:rsidR="00A55249" w:rsidRPr="00AB55B0">
              <w:t>Eucharist and by doin</w:t>
            </w:r>
            <w:r w:rsidR="00726428" w:rsidRPr="00AB55B0">
              <w:t>g God’s will in our daily lives</w:t>
            </w:r>
            <w:r w:rsidR="00A55249" w:rsidRPr="00AB55B0">
              <w:t xml:space="preserve"> </w:t>
            </w:r>
          </w:p>
        </w:tc>
      </w:tr>
      <w:tr w:rsidR="00A55249" w:rsidRPr="00AB55B0">
        <w:trPr>
          <w:trHeight w:val="511"/>
        </w:trPr>
        <w:tc>
          <w:tcPr>
            <w:tcW w:w="2980" w:type="dxa"/>
          </w:tcPr>
          <w:p w:rsidR="00A55249" w:rsidRPr="00AB55B0" w:rsidRDefault="00A55249" w:rsidP="001C13AF">
            <w:pPr>
              <w:pStyle w:val="A-ChartHeads"/>
              <w:rPr>
                <w:bCs/>
              </w:rPr>
            </w:pPr>
            <w:r w:rsidRPr="00AB55B0">
              <w:rPr>
                <w:bCs/>
              </w:rPr>
              <w:t>The Lord’s Supper</w:t>
            </w:r>
          </w:p>
          <w:p w:rsidR="00A55249" w:rsidRPr="00AB55B0" w:rsidRDefault="00A55249" w:rsidP="001C13AF">
            <w:pPr>
              <w:pStyle w:val="A-ChartHeads"/>
              <w:rPr>
                <w:rFonts w:cs="Times New Roman"/>
              </w:rPr>
            </w:pPr>
          </w:p>
          <w:p w:rsidR="00A55249" w:rsidRPr="00AB55B0" w:rsidRDefault="00A55249" w:rsidP="001C13AF">
            <w:pPr>
              <w:pStyle w:val="A-ChartHeads"/>
              <w:rPr>
                <w:rFonts w:cs="Times New Roman"/>
              </w:rPr>
            </w:pPr>
          </w:p>
        </w:tc>
        <w:tc>
          <w:tcPr>
            <w:tcW w:w="4618" w:type="dxa"/>
          </w:tcPr>
          <w:p w:rsidR="00A55249" w:rsidRPr="00AB55B0" w:rsidRDefault="00A55249" w:rsidP="00DC0F3A">
            <w:pPr>
              <w:pStyle w:val="A-ChartText"/>
              <w:ind w:left="186" w:hanging="186"/>
            </w:pPr>
            <w:r w:rsidRPr="00AB55B0">
              <w:t>•</w:t>
            </w:r>
            <w:r w:rsidR="00DC0F3A" w:rsidRPr="00AB55B0">
              <w:t xml:space="preserve">  </w:t>
            </w:r>
            <w:r w:rsidRPr="00AB55B0">
              <w:t>recalls the Last Supper, a Passover meal</w:t>
            </w:r>
          </w:p>
          <w:p w:rsidR="00A55249" w:rsidRPr="00AB55B0" w:rsidRDefault="00A55249" w:rsidP="00DC0F3A">
            <w:pPr>
              <w:pStyle w:val="A-ChartText"/>
              <w:ind w:left="186" w:hanging="186"/>
            </w:pPr>
            <w:r w:rsidRPr="00AB55B0">
              <w:t>•</w:t>
            </w:r>
            <w:r w:rsidR="00DC0F3A" w:rsidRPr="00AB55B0">
              <w:t xml:space="preserve">  </w:t>
            </w:r>
            <w:r w:rsidRPr="00AB55B0">
              <w:t>anticipates the “supper of the Lamb” we will share with Jesus in the Kingdom of Heaven</w:t>
            </w:r>
            <w:r w:rsidR="00DC0F3A" w:rsidRPr="00AB55B0">
              <w:t xml:space="preserve">                   </w:t>
            </w:r>
            <w:bookmarkStart w:id="0" w:name="_GoBack"/>
            <w:bookmarkEnd w:id="0"/>
            <w:r w:rsidRPr="00AB55B0">
              <w:t>(see 1 Corinthians 11:20, Revelation 19:9)</w:t>
            </w:r>
          </w:p>
        </w:tc>
        <w:tc>
          <w:tcPr>
            <w:tcW w:w="5706" w:type="dxa"/>
          </w:tcPr>
          <w:p w:rsidR="00A55249" w:rsidRPr="00AB55B0" w:rsidRDefault="00A55249" w:rsidP="001C13AF">
            <w:pPr>
              <w:pStyle w:val="A-ChartText"/>
            </w:pPr>
            <w:r w:rsidRPr="00AB55B0">
              <w:t>God’s action?</w:t>
            </w:r>
          </w:p>
          <w:p w:rsidR="00A55249" w:rsidRPr="00AB55B0" w:rsidRDefault="00A55249" w:rsidP="001C13AF">
            <w:pPr>
              <w:pStyle w:val="A-ChartText"/>
            </w:pPr>
          </w:p>
          <w:p w:rsidR="00A55249" w:rsidRPr="00AB55B0" w:rsidRDefault="00A55249" w:rsidP="001C13AF">
            <w:pPr>
              <w:pStyle w:val="A-ChartText"/>
            </w:pPr>
            <w:r w:rsidRPr="00AB55B0">
              <w:t>Our response?</w:t>
            </w:r>
          </w:p>
        </w:tc>
      </w:tr>
      <w:tr w:rsidR="00A55249" w:rsidRPr="00AB55B0">
        <w:trPr>
          <w:trHeight w:val="511"/>
        </w:trPr>
        <w:tc>
          <w:tcPr>
            <w:tcW w:w="2980" w:type="dxa"/>
          </w:tcPr>
          <w:p w:rsidR="00A55249" w:rsidRPr="00AB55B0" w:rsidRDefault="00A55249" w:rsidP="001C13AF">
            <w:pPr>
              <w:pStyle w:val="A-ChartHeads"/>
              <w:rPr>
                <w:bCs/>
              </w:rPr>
            </w:pPr>
            <w:r w:rsidRPr="00AB55B0">
              <w:rPr>
                <w:bCs/>
              </w:rPr>
              <w:t>The Breaking of the Bread</w:t>
            </w:r>
          </w:p>
          <w:p w:rsidR="00A55249" w:rsidRPr="00AB55B0" w:rsidRDefault="00A55249" w:rsidP="001C13AF">
            <w:pPr>
              <w:pStyle w:val="A-ChartHeads"/>
              <w:rPr>
                <w:bCs/>
              </w:rPr>
            </w:pPr>
          </w:p>
          <w:p w:rsidR="00A55249" w:rsidRPr="00AB55B0" w:rsidRDefault="00A55249" w:rsidP="001C13AF">
            <w:pPr>
              <w:pStyle w:val="A-ChartHeads"/>
              <w:rPr>
                <w:bCs/>
              </w:rPr>
            </w:pPr>
          </w:p>
          <w:p w:rsidR="00A55249" w:rsidRPr="00AB55B0" w:rsidRDefault="00A55249" w:rsidP="001C13AF">
            <w:pPr>
              <w:pStyle w:val="A-ChartHeads"/>
              <w:rPr>
                <w:rFonts w:cs="Times New Roman"/>
                <w:bCs/>
              </w:rPr>
            </w:pPr>
          </w:p>
        </w:tc>
        <w:tc>
          <w:tcPr>
            <w:tcW w:w="4618" w:type="dxa"/>
          </w:tcPr>
          <w:p w:rsidR="00A55249" w:rsidRPr="00AB55B0" w:rsidRDefault="00A55249" w:rsidP="001C13AF">
            <w:pPr>
              <w:pStyle w:val="A-ChartText"/>
            </w:pPr>
          </w:p>
        </w:tc>
        <w:tc>
          <w:tcPr>
            <w:tcW w:w="5706" w:type="dxa"/>
          </w:tcPr>
          <w:p w:rsidR="00A55249" w:rsidRPr="00AB55B0" w:rsidRDefault="00A55249" w:rsidP="001C13AF">
            <w:pPr>
              <w:pStyle w:val="A-ChartText"/>
            </w:pPr>
            <w:r w:rsidRPr="00AB55B0">
              <w:t>God’s action?</w:t>
            </w:r>
          </w:p>
          <w:p w:rsidR="00A55249" w:rsidRPr="00AB55B0" w:rsidRDefault="00A55249" w:rsidP="001C13AF">
            <w:pPr>
              <w:pStyle w:val="A-ChartText"/>
            </w:pPr>
          </w:p>
          <w:p w:rsidR="00A55249" w:rsidRPr="00AB55B0" w:rsidRDefault="00A55249" w:rsidP="001C13AF">
            <w:pPr>
              <w:pStyle w:val="A-ChartText"/>
            </w:pPr>
            <w:r w:rsidRPr="00AB55B0">
              <w:t>Our response?</w:t>
            </w:r>
          </w:p>
        </w:tc>
      </w:tr>
      <w:tr w:rsidR="00A55249" w:rsidRPr="00AB55B0">
        <w:trPr>
          <w:trHeight w:val="511"/>
        </w:trPr>
        <w:tc>
          <w:tcPr>
            <w:tcW w:w="2980" w:type="dxa"/>
          </w:tcPr>
          <w:p w:rsidR="00A55249" w:rsidRPr="00AB55B0" w:rsidRDefault="00A55249" w:rsidP="001C13AF">
            <w:pPr>
              <w:pStyle w:val="A-ChartHeads"/>
              <w:rPr>
                <w:bCs/>
              </w:rPr>
            </w:pPr>
            <w:r w:rsidRPr="00AB55B0">
              <w:rPr>
                <w:bCs/>
              </w:rPr>
              <w:t>The Eucharistic Assembly</w:t>
            </w:r>
          </w:p>
          <w:p w:rsidR="00A55249" w:rsidRPr="00AB55B0" w:rsidRDefault="00A55249" w:rsidP="001C13AF">
            <w:pPr>
              <w:pStyle w:val="A-ChartHeads"/>
              <w:rPr>
                <w:bCs/>
              </w:rPr>
            </w:pPr>
          </w:p>
          <w:p w:rsidR="00A55249" w:rsidRPr="00AB55B0" w:rsidRDefault="00A55249" w:rsidP="001C13AF">
            <w:pPr>
              <w:pStyle w:val="A-ChartHeads"/>
              <w:rPr>
                <w:bCs/>
              </w:rPr>
            </w:pPr>
          </w:p>
          <w:p w:rsidR="00A55249" w:rsidRPr="00AB55B0" w:rsidRDefault="00A55249" w:rsidP="001C13AF">
            <w:pPr>
              <w:pStyle w:val="A-ChartHeads"/>
              <w:rPr>
                <w:rFonts w:cs="Times New Roman"/>
                <w:bCs/>
              </w:rPr>
            </w:pPr>
          </w:p>
        </w:tc>
        <w:tc>
          <w:tcPr>
            <w:tcW w:w="4618" w:type="dxa"/>
          </w:tcPr>
          <w:p w:rsidR="00A55249" w:rsidRPr="00AB55B0" w:rsidRDefault="00A55249" w:rsidP="001C13AF">
            <w:pPr>
              <w:pStyle w:val="A-ChartText"/>
            </w:pPr>
          </w:p>
        </w:tc>
        <w:tc>
          <w:tcPr>
            <w:tcW w:w="5706" w:type="dxa"/>
          </w:tcPr>
          <w:p w:rsidR="00A55249" w:rsidRPr="00AB55B0" w:rsidRDefault="00A55249" w:rsidP="001C13AF">
            <w:pPr>
              <w:pStyle w:val="A-ChartText"/>
            </w:pPr>
            <w:r w:rsidRPr="00AB55B0">
              <w:t>God’s action?</w:t>
            </w:r>
          </w:p>
          <w:p w:rsidR="00A55249" w:rsidRPr="00AB55B0" w:rsidRDefault="00A55249" w:rsidP="001C13AF">
            <w:pPr>
              <w:pStyle w:val="A-ChartText"/>
            </w:pPr>
          </w:p>
          <w:p w:rsidR="00A55249" w:rsidRPr="00AB55B0" w:rsidRDefault="00A55249" w:rsidP="001C13AF">
            <w:pPr>
              <w:pStyle w:val="A-ChartText"/>
            </w:pPr>
            <w:r w:rsidRPr="00AB55B0">
              <w:t>Our response?</w:t>
            </w:r>
          </w:p>
        </w:tc>
      </w:tr>
      <w:tr w:rsidR="00A55249" w:rsidRPr="00AB55B0" w:rsidTr="00DC0F3A">
        <w:trPr>
          <w:trHeight w:val="872"/>
        </w:trPr>
        <w:tc>
          <w:tcPr>
            <w:tcW w:w="2980" w:type="dxa"/>
          </w:tcPr>
          <w:p w:rsidR="00A55249" w:rsidRPr="00AB55B0" w:rsidRDefault="00A55249" w:rsidP="001C13AF">
            <w:pPr>
              <w:pStyle w:val="A-ChartHeads"/>
              <w:rPr>
                <w:bCs/>
              </w:rPr>
            </w:pPr>
            <w:r w:rsidRPr="00AB55B0">
              <w:rPr>
                <w:bCs/>
              </w:rPr>
              <w:t>The Holy Sacrifice</w:t>
            </w:r>
          </w:p>
          <w:p w:rsidR="00A55249" w:rsidRPr="00AB55B0" w:rsidRDefault="00A55249" w:rsidP="001C13AF">
            <w:pPr>
              <w:pStyle w:val="A-ChartHeads"/>
              <w:rPr>
                <w:bCs/>
              </w:rPr>
            </w:pPr>
          </w:p>
          <w:p w:rsidR="00A55249" w:rsidRPr="00AB55B0" w:rsidRDefault="00A55249" w:rsidP="001C13AF">
            <w:pPr>
              <w:pStyle w:val="A-ChartHeads"/>
              <w:rPr>
                <w:rFonts w:cs="Times New Roman"/>
                <w:bCs/>
              </w:rPr>
            </w:pPr>
          </w:p>
        </w:tc>
        <w:tc>
          <w:tcPr>
            <w:tcW w:w="4618" w:type="dxa"/>
          </w:tcPr>
          <w:p w:rsidR="00A55249" w:rsidRPr="00AB55B0" w:rsidRDefault="00A55249" w:rsidP="001C13AF">
            <w:pPr>
              <w:pStyle w:val="A-ChartText"/>
            </w:pPr>
          </w:p>
        </w:tc>
        <w:tc>
          <w:tcPr>
            <w:tcW w:w="5706" w:type="dxa"/>
          </w:tcPr>
          <w:p w:rsidR="00A55249" w:rsidRPr="00AB55B0" w:rsidRDefault="00A55249" w:rsidP="001C13AF">
            <w:pPr>
              <w:pStyle w:val="A-ChartText"/>
            </w:pPr>
            <w:r w:rsidRPr="00AB55B0">
              <w:t>God’s action?</w:t>
            </w:r>
          </w:p>
          <w:p w:rsidR="00A55249" w:rsidRPr="00AB55B0" w:rsidRDefault="00A55249" w:rsidP="001C13AF">
            <w:pPr>
              <w:pStyle w:val="A-ChartText"/>
            </w:pPr>
          </w:p>
          <w:p w:rsidR="00A55249" w:rsidRPr="00AB55B0" w:rsidRDefault="00A55249" w:rsidP="001C13AF">
            <w:pPr>
              <w:pStyle w:val="A-ChartText"/>
            </w:pPr>
            <w:r w:rsidRPr="00AB55B0">
              <w:t>Our response?</w:t>
            </w:r>
          </w:p>
        </w:tc>
      </w:tr>
      <w:tr w:rsidR="00A55249" w:rsidRPr="00AB55B0">
        <w:trPr>
          <w:trHeight w:val="511"/>
        </w:trPr>
        <w:tc>
          <w:tcPr>
            <w:tcW w:w="2980" w:type="dxa"/>
          </w:tcPr>
          <w:p w:rsidR="00A55249" w:rsidRPr="00AB55B0" w:rsidRDefault="00A55249" w:rsidP="001C13AF">
            <w:pPr>
              <w:pStyle w:val="A-ChartHeads"/>
              <w:rPr>
                <w:bCs/>
              </w:rPr>
            </w:pPr>
            <w:r w:rsidRPr="00AB55B0">
              <w:rPr>
                <w:bCs/>
              </w:rPr>
              <w:t>The Divine Liturgy</w:t>
            </w:r>
          </w:p>
          <w:p w:rsidR="00A55249" w:rsidRPr="00AB55B0" w:rsidRDefault="00A55249" w:rsidP="001C13AF">
            <w:pPr>
              <w:pStyle w:val="A-ChartHeads"/>
              <w:rPr>
                <w:rFonts w:cs="Times New Roman"/>
              </w:rPr>
            </w:pPr>
          </w:p>
          <w:p w:rsidR="00A55249" w:rsidRPr="00AB55B0" w:rsidRDefault="00A55249" w:rsidP="001C13AF">
            <w:pPr>
              <w:pStyle w:val="A-ChartHeads"/>
              <w:rPr>
                <w:rFonts w:cs="Times New Roman"/>
              </w:rPr>
            </w:pPr>
          </w:p>
          <w:p w:rsidR="00A55249" w:rsidRPr="00AB55B0" w:rsidRDefault="00A55249" w:rsidP="001C13AF">
            <w:pPr>
              <w:pStyle w:val="A-ChartHeads"/>
              <w:rPr>
                <w:rFonts w:cs="Times New Roman"/>
              </w:rPr>
            </w:pPr>
          </w:p>
        </w:tc>
        <w:tc>
          <w:tcPr>
            <w:tcW w:w="4618" w:type="dxa"/>
          </w:tcPr>
          <w:p w:rsidR="00A55249" w:rsidRPr="00AB55B0" w:rsidRDefault="00A55249" w:rsidP="001C13AF">
            <w:pPr>
              <w:pStyle w:val="A-ChartText"/>
            </w:pPr>
          </w:p>
        </w:tc>
        <w:tc>
          <w:tcPr>
            <w:tcW w:w="5706" w:type="dxa"/>
          </w:tcPr>
          <w:p w:rsidR="00A55249" w:rsidRPr="00AB55B0" w:rsidRDefault="00A55249" w:rsidP="001C13AF">
            <w:pPr>
              <w:pStyle w:val="A-ChartText"/>
            </w:pPr>
            <w:r w:rsidRPr="00AB55B0">
              <w:t>God’s action?</w:t>
            </w:r>
          </w:p>
          <w:p w:rsidR="00A55249" w:rsidRPr="00AB55B0" w:rsidRDefault="00A55249" w:rsidP="001C13AF">
            <w:pPr>
              <w:pStyle w:val="A-ChartText"/>
            </w:pPr>
          </w:p>
          <w:p w:rsidR="00A55249" w:rsidRPr="00AB55B0" w:rsidRDefault="00A55249" w:rsidP="001C13AF">
            <w:pPr>
              <w:pStyle w:val="A-ChartText"/>
            </w:pPr>
            <w:r w:rsidRPr="00AB55B0">
              <w:t>Our response?</w:t>
            </w:r>
          </w:p>
        </w:tc>
      </w:tr>
      <w:tr w:rsidR="00A55249" w:rsidRPr="00AB55B0" w:rsidTr="001C13AF">
        <w:trPr>
          <w:trHeight w:val="1295"/>
        </w:trPr>
        <w:tc>
          <w:tcPr>
            <w:tcW w:w="2980" w:type="dxa"/>
          </w:tcPr>
          <w:p w:rsidR="00A55249" w:rsidRPr="00AB55B0" w:rsidRDefault="00A55249" w:rsidP="001C13AF">
            <w:pPr>
              <w:pStyle w:val="A-ChartHeads"/>
              <w:rPr>
                <w:bCs/>
              </w:rPr>
            </w:pPr>
            <w:r w:rsidRPr="00AB55B0">
              <w:rPr>
                <w:bCs/>
              </w:rPr>
              <w:t>Holy Communion and Holy Mass</w:t>
            </w:r>
          </w:p>
          <w:p w:rsidR="00A55249" w:rsidRPr="00AB55B0" w:rsidRDefault="00A55249" w:rsidP="001C13AF">
            <w:pPr>
              <w:pStyle w:val="A-ChartHeads"/>
              <w:rPr>
                <w:bCs/>
              </w:rPr>
            </w:pPr>
          </w:p>
          <w:p w:rsidR="00A55249" w:rsidRPr="00AB55B0" w:rsidRDefault="00A55249" w:rsidP="001C13AF">
            <w:pPr>
              <w:pStyle w:val="A-ChartHeads"/>
              <w:rPr>
                <w:bCs/>
              </w:rPr>
            </w:pPr>
          </w:p>
          <w:p w:rsidR="00A55249" w:rsidRPr="00AB55B0" w:rsidRDefault="00A55249" w:rsidP="001C13AF">
            <w:pPr>
              <w:pStyle w:val="A-ChartHeads"/>
              <w:rPr>
                <w:bCs/>
              </w:rPr>
            </w:pPr>
          </w:p>
          <w:p w:rsidR="00A55249" w:rsidRPr="00AB55B0" w:rsidRDefault="00A55249" w:rsidP="001C13AF">
            <w:pPr>
              <w:pStyle w:val="A-ChartHeads"/>
              <w:rPr>
                <w:rFonts w:cs="Times New Roman"/>
                <w:bCs/>
              </w:rPr>
            </w:pPr>
          </w:p>
        </w:tc>
        <w:tc>
          <w:tcPr>
            <w:tcW w:w="4618" w:type="dxa"/>
          </w:tcPr>
          <w:p w:rsidR="00A55249" w:rsidRPr="00AB55B0" w:rsidRDefault="00A55249" w:rsidP="001C13AF">
            <w:pPr>
              <w:pStyle w:val="A-ChartText"/>
            </w:pPr>
          </w:p>
        </w:tc>
        <w:tc>
          <w:tcPr>
            <w:tcW w:w="5706" w:type="dxa"/>
          </w:tcPr>
          <w:p w:rsidR="00A55249" w:rsidRPr="00AB55B0" w:rsidRDefault="00A55249" w:rsidP="001C13AF">
            <w:pPr>
              <w:pStyle w:val="A-ChartText"/>
            </w:pPr>
            <w:r w:rsidRPr="00AB55B0">
              <w:t>God’s action?</w:t>
            </w:r>
          </w:p>
          <w:p w:rsidR="00A55249" w:rsidRPr="00AB55B0" w:rsidRDefault="00A55249" w:rsidP="001C13AF">
            <w:pPr>
              <w:pStyle w:val="A-ChartText"/>
            </w:pPr>
          </w:p>
          <w:p w:rsidR="00A55249" w:rsidRPr="00AB55B0" w:rsidRDefault="00A55249" w:rsidP="001C13AF">
            <w:pPr>
              <w:pStyle w:val="A-ChartText"/>
            </w:pPr>
            <w:r w:rsidRPr="00AB55B0">
              <w:t>Our response?</w:t>
            </w:r>
          </w:p>
        </w:tc>
      </w:tr>
    </w:tbl>
    <w:p w:rsidR="00A55249" w:rsidRPr="008F4660" w:rsidRDefault="00A55249" w:rsidP="0032156A"/>
    <w:p w:rsidR="00A55249" w:rsidRPr="006515F4" w:rsidRDefault="00A55249" w:rsidP="006515F4"/>
    <w:sectPr w:rsidR="00A55249" w:rsidRPr="006515F4" w:rsidSect="0032156A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2880" w:bottom="1440" w:left="1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B0" w:rsidRDefault="00AB55B0" w:rsidP="004D0079">
      <w:r>
        <w:separator/>
      </w:r>
    </w:p>
    <w:p w:rsidR="00AB55B0" w:rsidRDefault="00AB55B0"/>
  </w:endnote>
  <w:endnote w:type="continuationSeparator" w:id="0">
    <w:p w:rsidR="00AB55B0" w:rsidRDefault="00AB55B0" w:rsidP="004D0079">
      <w:r>
        <w:continuationSeparator/>
      </w:r>
    </w:p>
    <w:p w:rsidR="00AB55B0" w:rsidRDefault="00AB5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49" w:rsidRPr="00F82D2A" w:rsidRDefault="00AB55B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4pt;margin-top:2.1pt;width:625.5pt;height:35.2pt;z-index:2;visibility:visible" filled="f" stroked="f">
          <v:textbox>
            <w:txbxContent>
              <w:p w:rsidR="00A55249" w:rsidRPr="00552985" w:rsidRDefault="00A5524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55298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55298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55249" w:rsidRPr="000318AE" w:rsidRDefault="00A55249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55298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55298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5298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5298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5298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2D568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TX002128</w:t>
                </w:r>
              </w:p>
              <w:p w:rsidR="00A55249" w:rsidRPr="000318AE" w:rsidRDefault="00A55249" w:rsidP="000318AE"/>
            </w:txbxContent>
          </v:textbox>
        </v:shape>
      </w:pict>
    </w:r>
    <w:r w:rsidR="0072642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49" w:rsidRDefault="00AB55B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5.65pt;margin-top:2.85pt;width:626.25pt;height:31.3pt;z-index:1;visibility:visible" filled="f" stroked="f">
          <v:textbox>
            <w:txbxContent>
              <w:p w:rsidR="00A55249" w:rsidRPr="00552985" w:rsidRDefault="00A5524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55298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55298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55249" w:rsidRPr="000318AE" w:rsidRDefault="00A55249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55298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55298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5298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5298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2D568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TX002128</w:t>
                </w:r>
              </w:p>
              <w:p w:rsidR="00A55249" w:rsidRPr="000E1ADA" w:rsidRDefault="00A5524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B0" w:rsidRDefault="00AB55B0" w:rsidP="004D0079">
      <w:r>
        <w:separator/>
      </w:r>
    </w:p>
    <w:p w:rsidR="00AB55B0" w:rsidRDefault="00AB55B0"/>
  </w:footnote>
  <w:footnote w:type="continuationSeparator" w:id="0">
    <w:p w:rsidR="00AB55B0" w:rsidRDefault="00AB55B0" w:rsidP="004D0079">
      <w:r>
        <w:continuationSeparator/>
      </w:r>
    </w:p>
    <w:p w:rsidR="00AB55B0" w:rsidRDefault="00AB55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49" w:rsidRDefault="00A55249" w:rsidP="00DC08C5">
    <w:pPr>
      <w:pStyle w:val="A-Header-articletitlepage2"/>
      <w:rPr>
        <w:rFonts w:cs="Times New Roman"/>
      </w:rPr>
    </w:pPr>
    <w:r w:rsidRPr="002D568A">
      <w:t>What’s In a Name? The Dynamism of the Eucharist</w:t>
    </w:r>
    <w:r>
      <w:rPr>
        <w:rFonts w:cs="Times New Roman"/>
      </w:rPr>
      <w:tab/>
    </w:r>
    <w:r>
      <w:rPr>
        <w:rFonts w:cs="Times New Roman"/>
      </w:rPr>
      <w:tab/>
    </w:r>
    <w:r w:rsidRPr="00F82D2A">
      <w:t xml:space="preserve">Page | </w:t>
    </w:r>
    <w:r w:rsidR="00604135">
      <w:fldChar w:fldCharType="begin"/>
    </w:r>
    <w:r w:rsidR="00604135">
      <w:instrText xml:space="preserve"> PAGE   \* MERGEFORMAT </w:instrText>
    </w:r>
    <w:r w:rsidR="00604135">
      <w:fldChar w:fldCharType="separate"/>
    </w:r>
    <w:r w:rsidR="001C13AF">
      <w:rPr>
        <w:noProof/>
      </w:rPr>
      <w:t>2</w:t>
    </w:r>
    <w:r w:rsidR="00604135">
      <w:rPr>
        <w:noProof/>
      </w:rPr>
      <w:fldChar w:fldCharType="end"/>
    </w:r>
  </w:p>
  <w:p w:rsidR="00A55249" w:rsidRDefault="00A55249"/>
  <w:p w:rsidR="00A55249" w:rsidRDefault="00A552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49" w:rsidRPr="008E3D9B" w:rsidRDefault="00A55249" w:rsidP="007E1E81">
    <w:pPr>
      <w:pStyle w:val="Header"/>
      <w:rPr>
        <w:rFonts w:ascii="Arial" w:hAnsi="Arial" w:cs="Arial"/>
        <w:i/>
        <w:iCs/>
      </w:rPr>
    </w:pPr>
    <w:r w:rsidRPr="008E3D9B">
      <w:rPr>
        <w:rFonts w:ascii="Arial" w:hAnsi="Arial" w:cs="Arial"/>
        <w:i/>
        <w:iCs/>
      </w:rPr>
      <w:t>The Sacraments: Encounters with Christ</w:t>
    </w:r>
  </w:p>
  <w:p w:rsidR="00A55249" w:rsidRPr="007E1E81" w:rsidRDefault="00A55249" w:rsidP="007E1E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4932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13AF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3E38"/>
    <w:rsid w:val="00265087"/>
    <w:rsid w:val="002724DB"/>
    <w:rsid w:val="00272AE8"/>
    <w:rsid w:val="00284A63"/>
    <w:rsid w:val="00292C4F"/>
    <w:rsid w:val="002A4E6A"/>
    <w:rsid w:val="002D0851"/>
    <w:rsid w:val="002D568A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156A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0D25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2985"/>
    <w:rsid w:val="00555CB8"/>
    <w:rsid w:val="00555EA6"/>
    <w:rsid w:val="0058460F"/>
    <w:rsid w:val="005A13E3"/>
    <w:rsid w:val="005A4359"/>
    <w:rsid w:val="005A6944"/>
    <w:rsid w:val="005E0C08"/>
    <w:rsid w:val="005F599B"/>
    <w:rsid w:val="0060248C"/>
    <w:rsid w:val="00604135"/>
    <w:rsid w:val="006067CC"/>
    <w:rsid w:val="00614B48"/>
    <w:rsid w:val="0062342C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6428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1E81"/>
    <w:rsid w:val="007F14E0"/>
    <w:rsid w:val="007F1D2D"/>
    <w:rsid w:val="008111FA"/>
    <w:rsid w:val="00811A84"/>
    <w:rsid w:val="00813FAB"/>
    <w:rsid w:val="00820449"/>
    <w:rsid w:val="00847B4C"/>
    <w:rsid w:val="0085357A"/>
    <w:rsid w:val="008541FB"/>
    <w:rsid w:val="0085547F"/>
    <w:rsid w:val="00861A93"/>
    <w:rsid w:val="00873B75"/>
    <w:rsid w:val="00883D20"/>
    <w:rsid w:val="008A5FEE"/>
    <w:rsid w:val="008B14A0"/>
    <w:rsid w:val="008C2FC3"/>
    <w:rsid w:val="008D10BC"/>
    <w:rsid w:val="008E3D9B"/>
    <w:rsid w:val="008F12F7"/>
    <w:rsid w:val="008F22A0"/>
    <w:rsid w:val="008F4660"/>
    <w:rsid w:val="008F58B2"/>
    <w:rsid w:val="009064EC"/>
    <w:rsid w:val="00933E81"/>
    <w:rsid w:val="00940123"/>
    <w:rsid w:val="00945A73"/>
    <w:rsid w:val="009563C5"/>
    <w:rsid w:val="00972002"/>
    <w:rsid w:val="0098038E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49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7B97"/>
    <w:rsid w:val="00AA3178"/>
    <w:rsid w:val="00AA7F49"/>
    <w:rsid w:val="00AB55B0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1B81"/>
    <w:rsid w:val="00BE1C44"/>
    <w:rsid w:val="00BE3E0E"/>
    <w:rsid w:val="00BF5F62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47C2"/>
    <w:rsid w:val="00CF7A9A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0F3A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B2255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604135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604135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604135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604135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604135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04135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604135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604135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604135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604135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604135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604135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604135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604135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604135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04135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604135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04135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604135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60413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04135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604135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04135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604135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604135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604135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604135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604135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604135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604135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604135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604135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04135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604135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604135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604135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604135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04135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04135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04135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604135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04135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604135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604135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604135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604135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604135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604135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604135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604135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604135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604135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604135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604135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604135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604135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604135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604135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604135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E1E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7E1E81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24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2011-06-09T16:45:00Z</dcterms:created>
  <dcterms:modified xsi:type="dcterms:W3CDTF">2011-11-17T19:25:00Z</dcterms:modified>
</cp:coreProperties>
</file>