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FD3" w:rsidRPr="006E5214" w:rsidRDefault="009F6FD3" w:rsidP="009F6FD3">
      <w:pPr>
        <w:pStyle w:val="A-BH"/>
      </w:pPr>
      <w:r w:rsidRPr="006E5214">
        <w:t>Training Students to Read Aloud</w:t>
      </w:r>
    </w:p>
    <w:p w:rsidR="009F6FD3" w:rsidRPr="006E5214" w:rsidRDefault="009F6FD3" w:rsidP="009F6FD3">
      <w:pPr>
        <w:pStyle w:val="A-Text"/>
      </w:pPr>
      <w:r>
        <w:t>Throughout this course</w:t>
      </w:r>
      <w:r w:rsidRPr="006E5214">
        <w:t xml:space="preserve"> you will be asking </w:t>
      </w:r>
      <w:r>
        <w:t xml:space="preserve">the </w:t>
      </w:r>
      <w:r w:rsidRPr="006E5214">
        <w:t xml:space="preserve">students to read aloud from </w:t>
      </w:r>
      <w:r>
        <w:t>p</w:t>
      </w:r>
      <w:r w:rsidRPr="006E5214">
        <w:t xml:space="preserve">rimary </w:t>
      </w:r>
      <w:r>
        <w:t>s</w:t>
      </w:r>
      <w:r w:rsidRPr="006E5214">
        <w:t>ource readings. All too often, student readers rush through the assigned passage, internally heaving a sigh of relief when their turn is over. Even students who have some training as lectors, actors</w:t>
      </w:r>
      <w:r>
        <w:t>,</w:t>
      </w:r>
      <w:r w:rsidRPr="006E5214">
        <w:t xml:space="preserve"> or public speakers are hesitant to apply the skills they use in those conte</w:t>
      </w:r>
      <w:r>
        <w:t>xts to reading aloud in class. Yet</w:t>
      </w:r>
      <w:r w:rsidRPr="006E5214">
        <w:t xml:space="preserve"> if students rush through a complex reading, or mumble their way through it, the meaning is lost and any follow-up discussion fall</w:t>
      </w:r>
      <w:r>
        <w:t>s</w:t>
      </w:r>
      <w:r w:rsidRPr="006E5214">
        <w:t xml:space="preserve"> flat.</w:t>
      </w:r>
    </w:p>
    <w:p w:rsidR="009F6FD3" w:rsidRPr="006E5214" w:rsidRDefault="009F6FD3" w:rsidP="009F6FD3">
      <w:pPr>
        <w:pStyle w:val="A-Text"/>
      </w:pPr>
      <w:r>
        <w:tab/>
      </w:r>
      <w:r w:rsidRPr="006E5214">
        <w:t xml:space="preserve">For these reasons </w:t>
      </w:r>
      <w:r>
        <w:t>it may be</w:t>
      </w:r>
      <w:r w:rsidRPr="006E5214">
        <w:t xml:space="preserve"> helpful to spend some time training </w:t>
      </w:r>
      <w:r>
        <w:t xml:space="preserve">the </w:t>
      </w:r>
      <w:r w:rsidRPr="006E5214">
        <w:t>students to read aloud in a way that co</w:t>
      </w:r>
      <w:r>
        <w:t>nveys the meaning of the text.</w:t>
      </w:r>
    </w:p>
    <w:p w:rsidR="009F6FD3" w:rsidRPr="006E5214" w:rsidRDefault="009F6FD3" w:rsidP="009F6FD3">
      <w:pPr>
        <w:pStyle w:val="A-CH"/>
      </w:pPr>
      <w:r>
        <w:t>Using Tone to Convey Meaning</w:t>
      </w:r>
    </w:p>
    <w:p w:rsidR="009F6FD3" w:rsidRPr="006E5214" w:rsidRDefault="009F6FD3" w:rsidP="009F6FD3">
      <w:pPr>
        <w:pStyle w:val="A-Text"/>
      </w:pPr>
      <w:r>
        <w:t>Reading aloud</w:t>
      </w:r>
      <w:r w:rsidRPr="006E5214">
        <w:t xml:space="preserve"> is comparable to a conversation. </w:t>
      </w:r>
      <w:r>
        <w:t>You may wish</w:t>
      </w:r>
      <w:r w:rsidRPr="006E5214">
        <w:t xml:space="preserve"> to begin a discussion </w:t>
      </w:r>
      <w:r>
        <w:t xml:space="preserve">about reading primary source materials </w:t>
      </w:r>
      <w:r w:rsidRPr="006E5214">
        <w:t xml:space="preserve">with </w:t>
      </w:r>
      <w:r>
        <w:t>the topic of tone. Anyone who has ever been made fun of, blasted with sarcasm, or given a brush-off knows</w:t>
      </w:r>
      <w:r w:rsidRPr="006E5214">
        <w:t xml:space="preserve"> it isn’t just what you say, but how you say it.</w:t>
      </w:r>
      <w:r>
        <w:t xml:space="preserve"> T</w:t>
      </w:r>
      <w:r w:rsidRPr="006E5214">
        <w:t xml:space="preserve">one of voice changes </w:t>
      </w:r>
      <w:r>
        <w:t xml:space="preserve">a compliment into an insult, or it can make </w:t>
      </w:r>
      <w:r w:rsidRPr="006E5214">
        <w:t>constructive criticism easier to hear</w:t>
      </w:r>
      <w:r>
        <w:t xml:space="preserve">. </w:t>
      </w:r>
      <w:r w:rsidRPr="006E5214">
        <w:t xml:space="preserve">Tone can </w:t>
      </w:r>
      <w:r>
        <w:t>tell</w:t>
      </w:r>
      <w:r w:rsidRPr="006E5214">
        <w:t xml:space="preserve"> the listener how we would like </w:t>
      </w:r>
      <w:r>
        <w:t>him or her</w:t>
      </w:r>
      <w:r w:rsidRPr="006E5214">
        <w:t xml:space="preserve"> to receive our words</w:t>
      </w:r>
      <w:r>
        <w:t xml:space="preserve">. Tone can also </w:t>
      </w:r>
      <w:r w:rsidRPr="006E5214">
        <w:t>tell the listener what we think is important about what we are saying.</w:t>
      </w:r>
    </w:p>
    <w:p w:rsidR="009F6FD3" w:rsidRDefault="009F6FD3" w:rsidP="009F6FD3">
      <w:pPr>
        <w:pStyle w:val="A-DH"/>
      </w:pPr>
      <w:r>
        <w:t>Learn by Doing with Comedy</w:t>
      </w:r>
    </w:p>
    <w:p w:rsidR="009F6FD3" w:rsidRDefault="009F6FD3" w:rsidP="009F6FD3">
      <w:pPr>
        <w:pStyle w:val="A-Text"/>
      </w:pPr>
      <w:r>
        <w:t>The following exercise can help to bring the point home:</w:t>
      </w:r>
    </w:p>
    <w:p w:rsidR="009F6FD3" w:rsidRPr="006E5214" w:rsidRDefault="009F6FD3" w:rsidP="009F6FD3">
      <w:pPr>
        <w:pStyle w:val="A-Text"/>
      </w:pPr>
    </w:p>
    <w:p w:rsidR="009F6FD3" w:rsidRPr="006E5214" w:rsidRDefault="009F6FD3" w:rsidP="00BA3992">
      <w:pPr>
        <w:pStyle w:val="A-Text"/>
        <w:tabs>
          <w:tab w:val="clear" w:pos="450"/>
          <w:tab w:val="left" w:pos="360"/>
        </w:tabs>
        <w:ind w:left="360" w:hanging="360"/>
      </w:pPr>
      <w:r>
        <w:t>1.</w:t>
      </w:r>
      <w:r>
        <w:tab/>
      </w:r>
      <w:r w:rsidRPr="006E5214">
        <w:t xml:space="preserve">Divide the </w:t>
      </w:r>
      <w:r>
        <w:t xml:space="preserve">large </w:t>
      </w:r>
      <w:r w:rsidRPr="006E5214">
        <w:t>group into four small groups</w:t>
      </w:r>
      <w:r>
        <w:t xml:space="preserve"> and give each a slip of paper with one of the following sentences on it.</w:t>
      </w:r>
    </w:p>
    <w:p w:rsidR="009F6FD3" w:rsidRPr="006E5214" w:rsidRDefault="009F6FD3" w:rsidP="00BA3992">
      <w:pPr>
        <w:pStyle w:val="A-BulletList-withspaceafter"/>
        <w:numPr>
          <w:ilvl w:val="0"/>
          <w:numId w:val="33"/>
        </w:numPr>
        <w:ind w:left="1170"/>
      </w:pPr>
      <w:bookmarkStart w:id="0" w:name="_GoBack"/>
      <w:r w:rsidRPr="006E5214">
        <w:rPr>
          <w:b/>
          <w:bCs/>
          <w:u w:val="single"/>
        </w:rPr>
        <w:t>YOU</w:t>
      </w:r>
      <w:r w:rsidRPr="006E5214">
        <w:t xml:space="preserve"> are my friend.</w:t>
      </w:r>
    </w:p>
    <w:p w:rsidR="009F6FD3" w:rsidRPr="006E5214" w:rsidRDefault="009F6FD3" w:rsidP="00BA3992">
      <w:pPr>
        <w:pStyle w:val="A-BulletList-withspaceafter"/>
        <w:numPr>
          <w:ilvl w:val="0"/>
          <w:numId w:val="33"/>
        </w:numPr>
        <w:ind w:left="1170"/>
      </w:pPr>
      <w:r w:rsidRPr="006E5214">
        <w:t xml:space="preserve">You </w:t>
      </w:r>
      <w:r w:rsidRPr="006E5214">
        <w:rPr>
          <w:b/>
          <w:bCs/>
          <w:u w:val="single"/>
        </w:rPr>
        <w:t>ARE</w:t>
      </w:r>
      <w:r w:rsidRPr="006E5214">
        <w:t xml:space="preserve"> my friend.</w:t>
      </w:r>
    </w:p>
    <w:p w:rsidR="009F6FD3" w:rsidRPr="006E5214" w:rsidRDefault="009F6FD3" w:rsidP="00BA3992">
      <w:pPr>
        <w:pStyle w:val="A-BulletList-withspaceafter"/>
        <w:numPr>
          <w:ilvl w:val="0"/>
          <w:numId w:val="33"/>
        </w:numPr>
        <w:ind w:left="1170"/>
      </w:pPr>
      <w:r w:rsidRPr="006E5214">
        <w:t xml:space="preserve">You are </w:t>
      </w:r>
      <w:r w:rsidRPr="006E5214">
        <w:rPr>
          <w:b/>
          <w:bCs/>
          <w:u w:val="single"/>
        </w:rPr>
        <w:t>MY</w:t>
      </w:r>
      <w:r w:rsidRPr="006E5214">
        <w:t xml:space="preserve"> friend.</w:t>
      </w:r>
    </w:p>
    <w:p w:rsidR="009F6FD3" w:rsidRPr="006E5214" w:rsidRDefault="009F6FD3" w:rsidP="00BA3992">
      <w:pPr>
        <w:pStyle w:val="A-BulletList-withspaceafter"/>
        <w:numPr>
          <w:ilvl w:val="0"/>
          <w:numId w:val="33"/>
        </w:numPr>
        <w:ind w:left="1170"/>
      </w:pPr>
      <w:r w:rsidRPr="006E5214">
        <w:t xml:space="preserve">You are my </w:t>
      </w:r>
      <w:r w:rsidRPr="006E5214">
        <w:rPr>
          <w:b/>
          <w:bCs/>
          <w:u w:val="single"/>
        </w:rPr>
        <w:t>FRIEND</w:t>
      </w:r>
      <w:r w:rsidRPr="00DD1004">
        <w:rPr>
          <w:b/>
          <w:bCs/>
          <w:u w:val="single"/>
        </w:rPr>
        <w:t>.</w:t>
      </w:r>
    </w:p>
    <w:bookmarkEnd w:id="0"/>
    <w:p w:rsidR="009F6FD3" w:rsidRDefault="009F6FD3" w:rsidP="00BA3992">
      <w:pPr>
        <w:pStyle w:val="A-Text"/>
        <w:ind w:left="360"/>
      </w:pPr>
      <w:r w:rsidRPr="006E5214">
        <w:t>If possible, try to ensure that the groups don’t realize that they are all working with the same sentence.</w:t>
      </w:r>
    </w:p>
    <w:p w:rsidR="009F6FD3" w:rsidRDefault="009F6FD3" w:rsidP="009F6FD3">
      <w:pPr>
        <w:pStyle w:val="A-Text"/>
      </w:pPr>
    </w:p>
    <w:p w:rsidR="009F6FD3" w:rsidRDefault="009F6FD3" w:rsidP="00BA3992">
      <w:pPr>
        <w:pStyle w:val="A-Text"/>
        <w:tabs>
          <w:tab w:val="clear" w:pos="450"/>
          <w:tab w:val="left" w:pos="360"/>
        </w:tabs>
        <w:ind w:left="360" w:hanging="360"/>
      </w:pPr>
      <w:r>
        <w:t>2.</w:t>
      </w:r>
      <w:r>
        <w:tab/>
        <w:t>Instruct the small groups to</w:t>
      </w:r>
      <w:r w:rsidRPr="006E5214">
        <w:t xml:space="preserve"> look at their sentence</w:t>
      </w:r>
      <w:r>
        <w:t>s,</w:t>
      </w:r>
      <w:r w:rsidRPr="006E5214">
        <w:t xml:space="preserve"> </w:t>
      </w:r>
      <w:r>
        <w:t xml:space="preserve">particularly at </w:t>
      </w:r>
      <w:r w:rsidRPr="006E5214">
        <w:t xml:space="preserve">the underlined word </w:t>
      </w:r>
      <w:r>
        <w:t xml:space="preserve">that </w:t>
      </w:r>
      <w:proofErr w:type="gramStart"/>
      <w:r w:rsidRPr="006E5214">
        <w:t>communicate</w:t>
      </w:r>
      <w:r>
        <w:t>s</w:t>
      </w:r>
      <w:proofErr w:type="gramEnd"/>
      <w:r w:rsidRPr="006E5214">
        <w:t xml:space="preserve"> the primary meaning of the sentence. </w:t>
      </w:r>
      <w:r>
        <w:t>This is the “tone” word.</w:t>
      </w:r>
    </w:p>
    <w:p w:rsidR="009F6FD3" w:rsidRDefault="009F6FD3" w:rsidP="00BA3992">
      <w:pPr>
        <w:pStyle w:val="A-Text"/>
        <w:tabs>
          <w:tab w:val="left" w:pos="360"/>
        </w:tabs>
        <w:ind w:left="360" w:hanging="360"/>
      </w:pPr>
    </w:p>
    <w:p w:rsidR="009F6FD3" w:rsidRDefault="009F6FD3" w:rsidP="00BA3992">
      <w:pPr>
        <w:pStyle w:val="A-Text"/>
        <w:tabs>
          <w:tab w:val="left" w:pos="360"/>
        </w:tabs>
        <w:ind w:left="360" w:hanging="360"/>
      </w:pPr>
      <w:r>
        <w:t>3.</w:t>
      </w:r>
      <w:r>
        <w:tab/>
      </w:r>
      <w:r>
        <w:tab/>
        <w:t xml:space="preserve">Now direct </w:t>
      </w:r>
      <w:r w:rsidRPr="006E5214">
        <w:t xml:space="preserve">the </w:t>
      </w:r>
      <w:r>
        <w:t xml:space="preserve">small groups </w:t>
      </w:r>
      <w:r w:rsidRPr="006E5214">
        <w:t xml:space="preserve">to make up a scenario that </w:t>
      </w:r>
      <w:r>
        <w:t>ends with</w:t>
      </w:r>
      <w:r w:rsidRPr="006E5214">
        <w:t xml:space="preserve"> this sentence, with its assigned emphasis</w:t>
      </w:r>
      <w:r>
        <w:t>. Encourage them to be as silly as possible in creating the storyline, and reiterate that the sentence with the tone word must end the skit.</w:t>
      </w:r>
    </w:p>
    <w:p w:rsidR="009F6FD3" w:rsidRDefault="009F6FD3" w:rsidP="00BA3992">
      <w:pPr>
        <w:pStyle w:val="A-Text"/>
        <w:tabs>
          <w:tab w:val="left" w:pos="360"/>
        </w:tabs>
        <w:ind w:left="360" w:hanging="360"/>
      </w:pPr>
    </w:p>
    <w:p w:rsidR="009F6FD3" w:rsidRDefault="009F6FD3" w:rsidP="00BA3992">
      <w:pPr>
        <w:pStyle w:val="A-Text"/>
        <w:tabs>
          <w:tab w:val="clear" w:pos="450"/>
          <w:tab w:val="left" w:pos="360"/>
          <w:tab w:val="left" w:pos="720"/>
        </w:tabs>
        <w:ind w:left="360" w:hanging="360"/>
      </w:pPr>
      <w:r>
        <w:t>4.</w:t>
      </w:r>
      <w:r>
        <w:tab/>
        <w:t>Have each small group present its skit to the rest of the class.</w:t>
      </w:r>
    </w:p>
    <w:p w:rsidR="00BA3992" w:rsidRDefault="00BA3992" w:rsidP="00BA3992">
      <w:pPr>
        <w:pStyle w:val="A-Text"/>
        <w:tabs>
          <w:tab w:val="clear" w:pos="450"/>
          <w:tab w:val="left" w:pos="360"/>
          <w:tab w:val="left" w:pos="720"/>
        </w:tabs>
        <w:ind w:left="360" w:hanging="360"/>
      </w:pPr>
    </w:p>
    <w:p w:rsidR="009F6FD3" w:rsidRPr="006E5214" w:rsidRDefault="009F6FD3" w:rsidP="00BA3992">
      <w:pPr>
        <w:pStyle w:val="A-Text"/>
        <w:tabs>
          <w:tab w:val="left" w:pos="360"/>
        </w:tabs>
        <w:ind w:left="360" w:hanging="360"/>
      </w:pPr>
    </w:p>
    <w:p w:rsidR="009F6FD3" w:rsidRPr="006E5214" w:rsidRDefault="009F6FD3" w:rsidP="00B65EE8">
      <w:pPr>
        <w:pStyle w:val="A-Text"/>
        <w:tabs>
          <w:tab w:val="clear" w:pos="450"/>
          <w:tab w:val="left" w:pos="360"/>
        </w:tabs>
        <w:spacing w:after="120"/>
        <w:ind w:left="360" w:hanging="360"/>
      </w:pPr>
      <w:r>
        <w:lastRenderedPageBreak/>
        <w:t>5.</w:t>
      </w:r>
      <w:r w:rsidRPr="006E5214">
        <w:tab/>
      </w:r>
      <w:r>
        <w:t xml:space="preserve">When all the small groups are done presenting, engage all the students in a </w:t>
      </w:r>
      <w:r w:rsidRPr="006E5214">
        <w:t>large-group discussion</w:t>
      </w:r>
      <w:r>
        <w:t>,</w:t>
      </w:r>
      <w:r w:rsidRPr="006E5214">
        <w:t xml:space="preserve"> </w:t>
      </w:r>
      <w:r>
        <w:t>ensuring</w:t>
      </w:r>
      <w:r w:rsidRPr="006E5214">
        <w:t xml:space="preserve"> that the following points</w:t>
      </w:r>
      <w:r>
        <w:t xml:space="preserve"> </w:t>
      </w:r>
      <w:r w:rsidRPr="006E5214">
        <w:t>are raised:</w:t>
      </w:r>
    </w:p>
    <w:p w:rsidR="009F6FD3" w:rsidRPr="006E5214" w:rsidRDefault="009F6FD3" w:rsidP="00490B02">
      <w:pPr>
        <w:pStyle w:val="A-BulletList-withspaceafter"/>
        <w:numPr>
          <w:ilvl w:val="0"/>
          <w:numId w:val="35"/>
        </w:numPr>
        <w:ind w:left="1170"/>
      </w:pPr>
      <w:r>
        <w:t>Because</w:t>
      </w:r>
      <w:r w:rsidRPr="006E5214">
        <w:t xml:space="preserve"> </w:t>
      </w:r>
      <w:r>
        <w:t>primary source readings don’t</w:t>
      </w:r>
      <w:r w:rsidRPr="006E5214">
        <w:t xml:space="preserve"> come with underlined words, it is important to know how each word and each sentence fits into the whole.</w:t>
      </w:r>
    </w:p>
    <w:p w:rsidR="009F6FD3" w:rsidRDefault="009F6FD3" w:rsidP="00490B02">
      <w:pPr>
        <w:pStyle w:val="A-BulletList-withspaceafter"/>
        <w:numPr>
          <w:ilvl w:val="0"/>
          <w:numId w:val="35"/>
        </w:numPr>
        <w:ind w:left="1170"/>
      </w:pPr>
      <w:r w:rsidRPr="006E5214">
        <w:t xml:space="preserve">Each sentence in </w:t>
      </w:r>
      <w:r>
        <w:t>a</w:t>
      </w:r>
      <w:r w:rsidRPr="006E5214">
        <w:t xml:space="preserve"> text supports the overall theme. By determining the overall theme, we better understand what words to “underline” with our voice.</w:t>
      </w:r>
    </w:p>
    <w:p w:rsidR="009F6FD3" w:rsidRDefault="009F6FD3" w:rsidP="009F6FD3">
      <w:pPr>
        <w:pStyle w:val="A-CH"/>
      </w:pPr>
      <w:r w:rsidRPr="00E11188">
        <w:t>Using Punctuation Cues to Convey Meaning</w:t>
      </w:r>
    </w:p>
    <w:p w:rsidR="009F6FD3" w:rsidRDefault="009F6FD3" w:rsidP="009F6FD3">
      <w:pPr>
        <w:pStyle w:val="A-Text"/>
      </w:pPr>
      <w:r>
        <w:t xml:space="preserve">Punctuation provides cues for readers by separating clauses, showing the relationships between ideas, and indicating where new topics begin. Remind the students that punctuation can cue them about pauses and inflection. </w:t>
      </w:r>
      <w:r w:rsidRPr="006E5214">
        <w:t xml:space="preserve">When </w:t>
      </w:r>
      <w:r>
        <w:t>reading primary source materials,</w:t>
      </w:r>
      <w:r w:rsidRPr="006E5214">
        <w:t xml:space="preserve"> preparation </w:t>
      </w:r>
      <w:r>
        <w:t>can make the difference between reading a string of words and conveying real meaning to the listeners. Whenever you plan to work with a primary source document, consider whether you will make ask for student readers. If you plan to do so, try to allow the students to prepare at home, or give them some class time for preparation.</w:t>
      </w:r>
    </w:p>
    <w:p w:rsidR="009F6FD3" w:rsidRPr="003D51B8" w:rsidRDefault="009F6FD3" w:rsidP="009F6FD3">
      <w:pPr>
        <w:pStyle w:val="A-DH"/>
      </w:pPr>
      <w:r>
        <w:t>Learn by Doing with an Encyclical or Epistle</w:t>
      </w:r>
    </w:p>
    <w:p w:rsidR="009F6FD3" w:rsidRDefault="009F6FD3" w:rsidP="009F6FD3">
      <w:pPr>
        <w:pStyle w:val="A-Text"/>
      </w:pPr>
      <w:r w:rsidRPr="00555C51">
        <w:t xml:space="preserve">Provide </w:t>
      </w:r>
      <w:r>
        <w:t xml:space="preserve">the </w:t>
      </w:r>
      <w:r w:rsidRPr="00555C51">
        <w:t xml:space="preserve">students with a </w:t>
      </w:r>
      <w:r>
        <w:t>selection from a Church document, such as paragraph 17 of Pope Benedict XVI’s encyclical “On Christian Love” (</w:t>
      </w:r>
      <w:r w:rsidRPr="00B564A4">
        <w:rPr>
          <w:i/>
          <w:iCs/>
        </w:rPr>
        <w:t xml:space="preserve">Deus Caritas </w:t>
      </w:r>
      <w:proofErr w:type="spellStart"/>
      <w:r w:rsidRPr="00B564A4">
        <w:rPr>
          <w:i/>
          <w:iCs/>
        </w:rPr>
        <w:t>Est</w:t>
      </w:r>
      <w:proofErr w:type="spellEnd"/>
      <w:r w:rsidRPr="00B564A4">
        <w:rPr>
          <w:i/>
          <w:iCs/>
        </w:rPr>
        <w:t>,</w:t>
      </w:r>
      <w:r>
        <w:t xml:space="preserve"> 2005), or a challenging biblical passage, such as </w:t>
      </w:r>
      <w:r w:rsidRPr="00555C51">
        <w:t>Romans 8:31–39</w:t>
      </w:r>
      <w:r>
        <w:t>.</w:t>
      </w:r>
      <w:r w:rsidRPr="00555C51">
        <w:t xml:space="preserve"> </w:t>
      </w:r>
      <w:r>
        <w:t>These readings are readily available online. Explain to the students that the excerpt you’ve distributed is a d</w:t>
      </w:r>
      <w:r w:rsidRPr="006E5214">
        <w:t xml:space="preserve">ifficult </w:t>
      </w:r>
      <w:r>
        <w:t xml:space="preserve">passage to read, </w:t>
      </w:r>
      <w:r w:rsidRPr="006E5214">
        <w:t xml:space="preserve">and it is a difficult reading for </w:t>
      </w:r>
      <w:r>
        <w:t>listeners</w:t>
      </w:r>
      <w:r w:rsidRPr="006E5214">
        <w:t xml:space="preserve"> to follow. </w:t>
      </w:r>
      <w:r>
        <w:t>Allow the students to practice reading aloud quietly after they have marked the passage for dramatic effect as follows:</w:t>
      </w:r>
    </w:p>
    <w:p w:rsidR="009F6FD3" w:rsidRDefault="009F6FD3" w:rsidP="00490B02">
      <w:pPr>
        <w:pStyle w:val="A-BulletList-withspaceafter"/>
        <w:ind w:left="720"/>
      </w:pPr>
      <w:r>
        <w:t xml:space="preserve">Place a slash line between sentences, and a </w:t>
      </w:r>
      <w:r w:rsidRPr="008757B6">
        <w:rPr>
          <w:i/>
          <w:iCs/>
        </w:rPr>
        <w:t>Q</w:t>
      </w:r>
      <w:r>
        <w:t xml:space="preserve"> at the beginning of a question.</w:t>
      </w:r>
    </w:p>
    <w:p w:rsidR="009F6FD3" w:rsidRDefault="009F6FD3" w:rsidP="00490B02">
      <w:pPr>
        <w:pStyle w:val="A-BulletList-withspaceafter"/>
        <w:ind w:left="720"/>
      </w:pPr>
      <w:r>
        <w:t>Circle the commas, colons, and semicolons.</w:t>
      </w:r>
    </w:p>
    <w:p w:rsidR="009F6FD3" w:rsidRDefault="009F6FD3" w:rsidP="00490B02">
      <w:pPr>
        <w:pStyle w:val="A-BulletList-withspaceafter"/>
        <w:ind w:left="720"/>
      </w:pPr>
      <w:r>
        <w:t>Underline words that should be emphasized to convey meaning.</w:t>
      </w:r>
    </w:p>
    <w:p w:rsidR="009F6FD3" w:rsidRDefault="009F6FD3" w:rsidP="00490B02">
      <w:pPr>
        <w:pStyle w:val="A-BulletList-withspaceafter"/>
        <w:ind w:left="720"/>
      </w:pPr>
      <w:r>
        <w:t>Place a caret (^) after particularly meaningful phrases to indicate a dramatic pause.</w:t>
      </w:r>
    </w:p>
    <w:p w:rsidR="009F6FD3" w:rsidRDefault="009F6FD3" w:rsidP="009F6FD3">
      <w:pPr>
        <w:pStyle w:val="A-DH"/>
      </w:pPr>
      <w:r>
        <w:t>Reading Aloud</w:t>
      </w:r>
      <w:r w:rsidRPr="00502FD4">
        <w:t xml:space="preserve"> Well</w:t>
      </w:r>
    </w:p>
    <w:p w:rsidR="009F6FD3" w:rsidRDefault="009F6FD3" w:rsidP="009F6FD3">
      <w:pPr>
        <w:pStyle w:val="A-Text"/>
      </w:pPr>
      <w:r>
        <w:t>You can help student readers by reminding them of the basics of public speaking, but you must create an environment where reading aloud well is accepted. No student wants to be the target of mockery. Involving all the students in practice, expecting everyone to read well, and working with the students until they are able to convey meaning will go a long way in creating a classroom where it is safe to read well. You may wish to directly address this issue with your students, inviting them into a “reading-well pact,” where all agree to do their best and support one another’s efforts.</w:t>
      </w:r>
    </w:p>
    <w:p w:rsidR="009F6FD3" w:rsidRDefault="009F6FD3" w:rsidP="009F6FD3">
      <w:pPr>
        <w:pStyle w:val="A-DH"/>
      </w:pPr>
      <w:r>
        <w:t>The Mechanics of Public Speaking</w:t>
      </w:r>
    </w:p>
    <w:p w:rsidR="009F6FD3" w:rsidRDefault="009F6FD3" w:rsidP="009F6FD3">
      <w:pPr>
        <w:pStyle w:val="A-Text"/>
      </w:pPr>
      <w:r>
        <w:t xml:space="preserve">Think about poor readers, both students and adults, you’ve heard in the past so that you can make a list of points to share with the students. Some readers slur their words, throw away clauses, or swallow the </w:t>
      </w:r>
      <w:r>
        <w:lastRenderedPageBreak/>
        <w:t>last word of every sentence. Others may overuse rising inflection so that everything they say sounds like a question. Some student readers may project their voice toward the teacher only, and some may seem to read to the page rather than the class.</w:t>
      </w:r>
    </w:p>
    <w:p w:rsidR="009F6FD3" w:rsidRDefault="009F6FD3" w:rsidP="009F6FD3">
      <w:pPr>
        <w:pStyle w:val="A-Text"/>
      </w:pPr>
      <w:r>
        <w:tab/>
      </w:r>
    </w:p>
    <w:p w:rsidR="009F6FD3" w:rsidRDefault="009F6FD3" w:rsidP="009F6FD3">
      <w:pPr>
        <w:pStyle w:val="A-Text"/>
      </w:pPr>
      <w:r>
        <w:t>Offer tips like these for reading aloud:</w:t>
      </w:r>
    </w:p>
    <w:p w:rsidR="009F6FD3" w:rsidRDefault="009F6FD3" w:rsidP="00490B02">
      <w:pPr>
        <w:pStyle w:val="A-BulletList-indented"/>
        <w:numPr>
          <w:ilvl w:val="0"/>
          <w:numId w:val="37"/>
        </w:numPr>
      </w:pPr>
      <w:r w:rsidRPr="006E5214">
        <w:t xml:space="preserve">Imagine you are </w:t>
      </w:r>
      <w:r>
        <w:t>the author’s</w:t>
      </w:r>
      <w:r w:rsidRPr="006E5214">
        <w:t xml:space="preserve"> spokesperson at a formal banquet</w:t>
      </w:r>
      <w:r>
        <w:t>: s</w:t>
      </w:r>
      <w:r w:rsidRPr="006E5214">
        <w:t>tand</w:t>
      </w:r>
      <w:r>
        <w:t xml:space="preserve"> </w:t>
      </w:r>
      <w:r w:rsidRPr="006E5214">
        <w:t xml:space="preserve">straight and </w:t>
      </w:r>
      <w:r>
        <w:t>speak clearly.</w:t>
      </w:r>
    </w:p>
    <w:p w:rsidR="009F6FD3" w:rsidRDefault="009F6FD3" w:rsidP="00490B02">
      <w:pPr>
        <w:pStyle w:val="A-BulletList-indented"/>
        <w:numPr>
          <w:ilvl w:val="0"/>
          <w:numId w:val="37"/>
        </w:numPr>
      </w:pPr>
      <w:r>
        <w:t>Allow the class a moment to prepare to listen before starting your reading.</w:t>
      </w:r>
    </w:p>
    <w:p w:rsidR="009F6FD3" w:rsidRPr="006E5214" w:rsidRDefault="009F6FD3" w:rsidP="00490B02">
      <w:pPr>
        <w:pStyle w:val="A-BulletList-indented"/>
        <w:numPr>
          <w:ilvl w:val="0"/>
          <w:numId w:val="37"/>
        </w:numPr>
      </w:pPr>
      <w:r>
        <w:t>P</w:t>
      </w:r>
      <w:r w:rsidRPr="006E5214">
        <w:t>roject</w:t>
      </w:r>
      <w:r>
        <w:t xml:space="preserve"> your voice toward the person in the back row.</w:t>
      </w:r>
    </w:p>
    <w:p w:rsidR="009F6FD3" w:rsidRDefault="009F6FD3" w:rsidP="00490B02">
      <w:pPr>
        <w:pStyle w:val="A-BulletList-indented"/>
        <w:numPr>
          <w:ilvl w:val="0"/>
          <w:numId w:val="37"/>
        </w:numPr>
      </w:pPr>
      <w:r w:rsidRPr="006E5214">
        <w:t xml:space="preserve">Maintain a deliberate pace and say all </w:t>
      </w:r>
      <w:r>
        <w:t>phrases</w:t>
      </w:r>
      <w:r w:rsidRPr="006E5214">
        <w:t xml:space="preserve"> clearly.</w:t>
      </w:r>
      <w:r>
        <w:t xml:space="preserve"> Remember that the ends of sentences shouldn’t be rushed.</w:t>
      </w:r>
    </w:p>
    <w:p w:rsidR="009F6FD3" w:rsidRDefault="009F6FD3" w:rsidP="00490B02">
      <w:pPr>
        <w:pStyle w:val="A-BulletList-indented"/>
        <w:numPr>
          <w:ilvl w:val="0"/>
          <w:numId w:val="37"/>
        </w:numPr>
      </w:pPr>
      <w:r w:rsidRPr="006E5214">
        <w:t xml:space="preserve">Refer to the punctuation cues you made in preparation for the reading. Remember, </w:t>
      </w:r>
      <w:r>
        <w:t>when you finish, pause for a moment before turning toward your seat.</w:t>
      </w:r>
    </w:p>
    <w:p w:rsidR="009F6FD3" w:rsidRDefault="009F6FD3" w:rsidP="009F6FD3">
      <w:pPr>
        <w:pStyle w:val="A-BulletList-indented"/>
        <w:numPr>
          <w:ilvl w:val="0"/>
          <w:numId w:val="0"/>
        </w:numPr>
        <w:ind w:left="770" w:hanging="770"/>
      </w:pPr>
    </w:p>
    <w:p w:rsidR="009F6FD3" w:rsidRDefault="009F6FD3" w:rsidP="009F6FD3">
      <w:pPr>
        <w:pStyle w:val="A-Text"/>
      </w:pPr>
      <w:r>
        <w:t>If you plan to have the students read primary source materials aloud in class, the time you spend training them to read well will pay off in listener comprehension; in turn, the class will enjoy more fruitful discussion of the materials.</w:t>
      </w:r>
    </w:p>
    <w:p w:rsidR="009F6FD3" w:rsidRDefault="009F6FD3" w:rsidP="009F6FD3">
      <w:pPr>
        <w:pStyle w:val="A-DH"/>
      </w:pPr>
      <w:r>
        <w:t>Learn by Doing with TV-Style Competition</w:t>
      </w:r>
    </w:p>
    <w:p w:rsidR="009F6FD3" w:rsidRDefault="009F6FD3" w:rsidP="009F6FD3">
      <w:pPr>
        <w:pStyle w:val="A-Text"/>
      </w:pPr>
      <w:r>
        <w:t xml:space="preserve">Consider allowing the students to bring a brief selection of their own choosing for skills practice. You may wish to involve them in choosing a particular genre of writing and word count that will be acceptable. Using a class-generated list of criteria for excellence in reading aloud, invite the students to evaluate each other in an </w:t>
      </w:r>
      <w:r>
        <w:rPr>
          <w:i/>
          <w:iCs/>
        </w:rPr>
        <w:t xml:space="preserve">American </w:t>
      </w:r>
      <w:r w:rsidRPr="008757B6">
        <w:rPr>
          <w:i/>
          <w:iCs/>
        </w:rPr>
        <w:t>Idol</w:t>
      </w:r>
      <w:r>
        <w:t>–type of competition. This competition could be ongoing over a period of time and could provide a fun way for the students to learn the skills that will ultimately enrich the experience of working with primary source materials.</w:t>
      </w:r>
    </w:p>
    <w:p w:rsidR="009F6FD3" w:rsidRDefault="009F6FD3" w:rsidP="009F6FD3">
      <w:pPr>
        <w:pStyle w:val="A-Text"/>
      </w:pPr>
    </w:p>
    <w:p w:rsidR="009F6FD3" w:rsidRDefault="009F6FD3" w:rsidP="009F6FD3">
      <w:pPr>
        <w:pStyle w:val="A-Text"/>
      </w:pPr>
    </w:p>
    <w:p w:rsidR="009F6FD3" w:rsidRPr="00A05A83" w:rsidRDefault="009F6FD3" w:rsidP="009F6FD3">
      <w:pPr>
        <w:pStyle w:val="A-References-roman"/>
        <w:ind w:left="0" w:firstLine="0"/>
      </w:pPr>
      <w:r>
        <w:t xml:space="preserve">(This article is adapted from </w:t>
      </w:r>
      <w:r w:rsidRPr="001816CC">
        <w:rPr>
          <w:i/>
          <w:iCs/>
        </w:rPr>
        <w:t>Gather Faithfully</w:t>
      </w:r>
      <w:r>
        <w:t xml:space="preserve"> l</w:t>
      </w:r>
      <w:r w:rsidRPr="001816CC">
        <w:t xml:space="preserve">eader's </w:t>
      </w:r>
      <w:r>
        <w:t>g</w:t>
      </w:r>
      <w:r w:rsidRPr="001816CC">
        <w:t xml:space="preserve">uide and participant’s booklet, </w:t>
      </w:r>
      <w:r>
        <w:t xml:space="preserve">both by Laure Krupp [Winona, MN: </w:t>
      </w:r>
      <w:r w:rsidRPr="001816CC">
        <w:t xml:space="preserve">Saint Mary’s Press, </w:t>
      </w:r>
      <w:r w:rsidRPr="008757B6">
        <w:t>2006</w:t>
      </w:r>
      <w:r>
        <w:t>]</w:t>
      </w:r>
      <w:r w:rsidRPr="008757B6">
        <w:t>.)</w:t>
      </w:r>
    </w:p>
    <w:p w:rsidR="008146D3" w:rsidRPr="009F6FD3" w:rsidRDefault="008146D3" w:rsidP="009F6FD3"/>
    <w:sectPr w:rsidR="008146D3" w:rsidRPr="009F6FD3" w:rsidSect="00CD2136">
      <w:headerReference w:type="even" r:id="rId9"/>
      <w:headerReference w:type="default" r:id="rId10"/>
      <w:footerReference w:type="even" r:id="rId11"/>
      <w:footerReference w:type="default" r:id="rId12"/>
      <w:footerReference w:type="first" r:id="rId13"/>
      <w:pgSz w:w="12240" w:h="15840"/>
      <w:pgMar w:top="90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AEC" w:rsidRDefault="008C2AEC" w:rsidP="004D0079">
      <w:r>
        <w:separator/>
      </w:r>
    </w:p>
    <w:p w:rsidR="008C2AEC" w:rsidRDefault="008C2AEC"/>
  </w:endnote>
  <w:endnote w:type="continuationSeparator" w:id="0">
    <w:p w:rsidR="008C2AEC" w:rsidRDefault="008C2AEC" w:rsidP="004D0079">
      <w:r>
        <w:continuationSeparator/>
      </w:r>
    </w:p>
    <w:p w:rsidR="008C2AEC" w:rsidRDefault="008C2A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Geneva">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877" w:rsidRDefault="00577877">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877" w:rsidRPr="00F82D2A" w:rsidRDefault="009F6FD3" w:rsidP="00F82D2A">
    <w:r>
      <w:rPr>
        <w:noProof/>
      </w:rPr>
      <mc:AlternateContent>
        <mc:Choice Requires="wps">
          <w:drawing>
            <wp:anchor distT="0" distB="0" distL="114300" distR="114300" simplePos="0" relativeHeight="251661312" behindDoc="0" locked="0" layoutInCell="1" allowOverlap="1">
              <wp:simplePos x="0" y="0"/>
              <wp:positionH relativeFrom="column">
                <wp:posOffset>467360</wp:posOffset>
              </wp:positionH>
              <wp:positionV relativeFrom="paragraph">
                <wp:posOffset>24130</wp:posOffset>
              </wp:positionV>
              <wp:extent cx="5615940" cy="447040"/>
              <wp:effectExtent l="635" t="0" r="3175"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877" w:rsidRDefault="0057787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577877" w:rsidRPr="000318AE" w:rsidRDefault="00577877" w:rsidP="009524B3">
                          <w:pPr>
                            <w:tabs>
                              <w:tab w:val="right" w:pos="8550"/>
                            </w:tabs>
                            <w:rPr>
                              <w:szCs w:val="21"/>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70052A" w:rsidRPr="0070052A">
                            <w:rPr>
                              <w:rFonts w:ascii="Arial" w:hAnsi="Arial" w:cs="Arial"/>
                              <w:color w:val="000000"/>
                              <w:sz w:val="18"/>
                              <w:szCs w:val="18"/>
                            </w:rPr>
                            <w:t>TX0013</w:t>
                          </w:r>
                          <w:r w:rsidR="009F6FD3">
                            <w:rPr>
                              <w:rFonts w:ascii="Arial" w:hAnsi="Arial" w:cs="Arial"/>
                              <w:color w:val="000000"/>
                              <w:sz w:val="18"/>
                              <w:szCs w:val="18"/>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577877" w:rsidRDefault="0057787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577877" w:rsidRPr="000318AE" w:rsidRDefault="00577877" w:rsidP="009524B3">
                    <w:pPr>
                      <w:tabs>
                        <w:tab w:val="right" w:pos="8550"/>
                      </w:tabs>
                      <w:rPr>
                        <w:szCs w:val="21"/>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70052A" w:rsidRPr="0070052A">
                      <w:rPr>
                        <w:rFonts w:ascii="Arial" w:hAnsi="Arial" w:cs="Arial"/>
                        <w:color w:val="000000"/>
                        <w:sz w:val="18"/>
                        <w:szCs w:val="18"/>
                      </w:rPr>
                      <w:t>TX0013</w:t>
                    </w:r>
                    <w:r w:rsidR="009F6FD3">
                      <w:rPr>
                        <w:rFonts w:ascii="Arial" w:hAnsi="Arial" w:cs="Arial"/>
                        <w:color w:val="000000"/>
                        <w:sz w:val="18"/>
                        <w:szCs w:val="18"/>
                      </w:rPr>
                      <w:t>17</w:t>
                    </w:r>
                  </w:p>
                </w:txbxContent>
              </v:textbox>
            </v:shape>
          </w:pict>
        </mc:Fallback>
      </mc:AlternateContent>
    </w:r>
    <w:r w:rsidR="00577877"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877" w:rsidRDefault="009F6FD3">
    <w:r>
      <w:rPr>
        <w:noProof/>
      </w:rPr>
      <mc:AlternateContent>
        <mc:Choice Requires="wps">
          <w:drawing>
            <wp:anchor distT="0" distB="0" distL="114300" distR="114300" simplePos="0" relativeHeight="251660288" behindDoc="0" locked="0" layoutInCell="1" allowOverlap="1">
              <wp:simplePos x="0" y="0"/>
              <wp:positionH relativeFrom="column">
                <wp:posOffset>461645</wp:posOffset>
              </wp:positionH>
              <wp:positionV relativeFrom="paragraph">
                <wp:posOffset>36830</wp:posOffset>
              </wp:positionV>
              <wp:extent cx="5615305" cy="39751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877" w:rsidRDefault="0057787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577877" w:rsidRPr="000E1ADA" w:rsidRDefault="00577877" w:rsidP="006B7100">
                          <w:pPr>
                            <w:tabs>
                              <w:tab w:val="right" w:pos="8550"/>
                            </w:tabs>
                            <w:rPr>
                              <w:sz w:val="18"/>
                              <w:szCs w:val="18"/>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CF22C4" w:rsidRPr="00CF22C4">
                            <w:rPr>
                              <w:rFonts w:ascii="Arial" w:hAnsi="Arial" w:cs="Arial"/>
                              <w:color w:val="000000"/>
                              <w:sz w:val="18"/>
                              <w:szCs w:val="18"/>
                            </w:rPr>
                            <w:t>TX0013</w:t>
                          </w:r>
                          <w:r w:rsidR="009F6FD3">
                            <w:rPr>
                              <w:rFonts w:ascii="Arial" w:hAnsi="Arial" w:cs="Arial"/>
                              <w:color w:val="000000"/>
                              <w:sz w:val="18"/>
                              <w:szCs w:val="18"/>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35pt;margin-top:2.9pt;width:442.15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577877" w:rsidRDefault="0057787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577877" w:rsidRPr="000E1ADA" w:rsidRDefault="00577877" w:rsidP="006B7100">
                    <w:pPr>
                      <w:tabs>
                        <w:tab w:val="right" w:pos="8550"/>
                      </w:tabs>
                      <w:rPr>
                        <w:sz w:val="18"/>
                        <w:szCs w:val="18"/>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CF22C4" w:rsidRPr="00CF22C4">
                      <w:rPr>
                        <w:rFonts w:ascii="Arial" w:hAnsi="Arial" w:cs="Arial"/>
                        <w:color w:val="000000"/>
                        <w:sz w:val="18"/>
                        <w:szCs w:val="18"/>
                      </w:rPr>
                      <w:t>TX0013</w:t>
                    </w:r>
                    <w:r w:rsidR="009F6FD3">
                      <w:rPr>
                        <w:rFonts w:ascii="Arial" w:hAnsi="Arial" w:cs="Arial"/>
                        <w:color w:val="000000"/>
                        <w:sz w:val="18"/>
                        <w:szCs w:val="18"/>
                      </w:rPr>
                      <w:t>17</w:t>
                    </w:r>
                  </w:p>
                </w:txbxContent>
              </v:textbox>
            </v:shape>
          </w:pict>
        </mc:Fallback>
      </mc:AlternateContent>
    </w:r>
    <w:r w:rsidR="00577877"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AEC" w:rsidRDefault="008C2AEC" w:rsidP="004D0079">
      <w:r>
        <w:separator/>
      </w:r>
    </w:p>
    <w:p w:rsidR="008C2AEC" w:rsidRDefault="008C2AEC"/>
  </w:footnote>
  <w:footnote w:type="continuationSeparator" w:id="0">
    <w:p w:rsidR="008C2AEC" w:rsidRDefault="008C2AEC" w:rsidP="004D0079">
      <w:r>
        <w:continuationSeparator/>
      </w:r>
    </w:p>
    <w:p w:rsidR="008C2AEC" w:rsidRDefault="008C2A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877" w:rsidRDefault="00577877"/>
  <w:p w:rsidR="00577877" w:rsidRDefault="0057787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877" w:rsidRDefault="009F6FD3" w:rsidP="00DC08C5">
    <w:pPr>
      <w:pStyle w:val="A-Header-articletitlepage2"/>
    </w:pPr>
    <w:r w:rsidRPr="006E5214">
      <w:t>Training Students to Read Aloud</w:t>
    </w:r>
    <w:r w:rsidR="00577877">
      <w:tab/>
    </w:r>
    <w:r w:rsidR="00577877" w:rsidRPr="00F82D2A">
      <w:t xml:space="preserve">Page | </w:t>
    </w:r>
    <w:r w:rsidR="00153F68">
      <w:fldChar w:fldCharType="begin"/>
    </w:r>
    <w:r w:rsidR="00153F68">
      <w:instrText xml:space="preserve"> PAGE   \* MERGEFORMAT </w:instrText>
    </w:r>
    <w:r w:rsidR="00153F68">
      <w:fldChar w:fldCharType="separate"/>
    </w:r>
    <w:r w:rsidR="00490B02">
      <w:rPr>
        <w:noProof/>
      </w:rPr>
      <w:t>2</w:t>
    </w:r>
    <w:r w:rsidR="00153F68">
      <w:rPr>
        <w:noProof/>
      </w:rPr>
      <w:fldChar w:fldCharType="end"/>
    </w:r>
  </w:p>
  <w:p w:rsidR="00577877" w:rsidRDefault="00577877"/>
  <w:p w:rsidR="00577877" w:rsidRDefault="005778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823CCD"/>
    <w:multiLevelType w:val="hybridMultilevel"/>
    <w:tmpl w:val="615EA93C"/>
    <w:lvl w:ilvl="0" w:tplc="350092A6">
      <w:numFmt w:val="bullet"/>
      <w:lvlText w:val="•"/>
      <w:lvlJc w:val="left"/>
      <w:pPr>
        <w:ind w:left="1175" w:hanging="405"/>
      </w:pPr>
      <w:rPr>
        <w:rFonts w:ascii="Book Antiqua" w:eastAsiaTheme="minorHAnsi" w:hAnsi="Book Antiqua" w:cs="Book Antiqua"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3">
    <w:nsid w:val="08E268B4"/>
    <w:multiLevelType w:val="hybridMultilevel"/>
    <w:tmpl w:val="28B8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0BDA5266"/>
    <w:multiLevelType w:val="hybridMultilevel"/>
    <w:tmpl w:val="C26E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124791"/>
    <w:multiLevelType w:val="hybridMultilevel"/>
    <w:tmpl w:val="9DA44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62392A"/>
    <w:multiLevelType w:val="hybridMultilevel"/>
    <w:tmpl w:val="79C6F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6F2065"/>
    <w:multiLevelType w:val="hybridMultilevel"/>
    <w:tmpl w:val="E3105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D558DA"/>
    <w:multiLevelType w:val="hybridMultilevel"/>
    <w:tmpl w:val="8B4093B0"/>
    <w:lvl w:ilvl="0" w:tplc="53845684">
      <w:numFmt w:val="bullet"/>
      <w:lvlText w:val="•"/>
      <w:lvlJc w:val="left"/>
      <w:pPr>
        <w:ind w:left="720" w:hanging="360"/>
      </w:pPr>
      <w:rPr>
        <w:rFonts w:ascii="Book Antiqua" w:eastAsiaTheme="minorHAnsi" w:hAnsi="Book Antiqua" w:cs="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00E16F7"/>
    <w:multiLevelType w:val="hybridMultilevel"/>
    <w:tmpl w:val="914C7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1827DA"/>
    <w:multiLevelType w:val="hybridMultilevel"/>
    <w:tmpl w:val="B1360090"/>
    <w:lvl w:ilvl="0" w:tplc="BE7AD1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A3F10CB"/>
    <w:multiLevelType w:val="hybridMultilevel"/>
    <w:tmpl w:val="DE3E9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EE116F"/>
    <w:multiLevelType w:val="hybridMultilevel"/>
    <w:tmpl w:val="1746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nsid w:val="2C701238"/>
    <w:multiLevelType w:val="hybridMultilevel"/>
    <w:tmpl w:val="BA5C1148"/>
    <w:lvl w:ilvl="0" w:tplc="240650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1C2BC3"/>
    <w:multiLevelType w:val="hybridMultilevel"/>
    <w:tmpl w:val="1F6E2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074036"/>
    <w:multiLevelType w:val="hybridMultilevel"/>
    <w:tmpl w:val="29E0C6EA"/>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5">
    <w:nsid w:val="459F1D87"/>
    <w:multiLevelType w:val="hybridMultilevel"/>
    <w:tmpl w:val="19CE4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F44EBE"/>
    <w:multiLevelType w:val="hybridMultilevel"/>
    <w:tmpl w:val="CD7EE966"/>
    <w:lvl w:ilvl="0" w:tplc="B67C410C">
      <w:numFmt w:val="bullet"/>
      <w:lvlText w:val="•"/>
      <w:lvlJc w:val="left"/>
      <w:pPr>
        <w:ind w:left="1130" w:hanging="360"/>
      </w:pPr>
      <w:rPr>
        <w:rFonts w:ascii="Book Antiqua" w:eastAsiaTheme="minorHAnsi" w:hAnsi="Book Antiqua" w:cs="Book Antiqua"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27">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C2E57B1"/>
    <w:multiLevelType w:val="hybridMultilevel"/>
    <w:tmpl w:val="3ED0212C"/>
    <w:lvl w:ilvl="0" w:tplc="78DAAC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D4D1769"/>
    <w:multiLevelType w:val="hybridMultilevel"/>
    <w:tmpl w:val="97ECB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B72AAE"/>
    <w:multiLevelType w:val="hybridMultilevel"/>
    <w:tmpl w:val="19AA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720F25"/>
    <w:multiLevelType w:val="hybridMultilevel"/>
    <w:tmpl w:val="7368DC50"/>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5">
    <w:nsid w:val="75417F76"/>
    <w:multiLevelType w:val="hybridMultilevel"/>
    <w:tmpl w:val="350C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E87841"/>
    <w:multiLevelType w:val="hybridMultilevel"/>
    <w:tmpl w:val="5D40F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0251FC"/>
    <w:multiLevelType w:val="hybridMultilevel"/>
    <w:tmpl w:val="E2EE6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5"/>
  </w:num>
  <w:num w:numId="3">
    <w:abstractNumId w:val="19"/>
  </w:num>
  <w:num w:numId="4">
    <w:abstractNumId w:val="22"/>
  </w:num>
  <w:num w:numId="5">
    <w:abstractNumId w:val="23"/>
  </w:num>
  <w:num w:numId="6">
    <w:abstractNumId w:val="0"/>
  </w:num>
  <w:num w:numId="7">
    <w:abstractNumId w:val="30"/>
  </w:num>
  <w:num w:numId="8">
    <w:abstractNumId w:val="10"/>
  </w:num>
  <w:num w:numId="9">
    <w:abstractNumId w:val="31"/>
  </w:num>
  <w:num w:numId="10">
    <w:abstractNumId w:val="18"/>
  </w:num>
  <w:num w:numId="11">
    <w:abstractNumId w:val="14"/>
  </w:num>
  <w:num w:numId="12">
    <w:abstractNumId w:val="27"/>
  </w:num>
  <w:num w:numId="13">
    <w:abstractNumId w:val="1"/>
  </w:num>
  <w:num w:numId="14">
    <w:abstractNumId w:val="13"/>
  </w:num>
  <w:num w:numId="15">
    <w:abstractNumId w:val="4"/>
  </w:num>
  <w:num w:numId="16">
    <w:abstractNumId w:val="5"/>
  </w:num>
  <w:num w:numId="17">
    <w:abstractNumId w:val="32"/>
  </w:num>
  <w:num w:numId="18">
    <w:abstractNumId w:val="11"/>
  </w:num>
  <w:num w:numId="19">
    <w:abstractNumId w:val="6"/>
  </w:num>
  <w:num w:numId="20">
    <w:abstractNumId w:val="37"/>
  </w:num>
  <w:num w:numId="21">
    <w:abstractNumId w:val="36"/>
  </w:num>
  <w:num w:numId="22">
    <w:abstractNumId w:val="16"/>
  </w:num>
  <w:num w:numId="23">
    <w:abstractNumId w:val="17"/>
  </w:num>
  <w:num w:numId="24">
    <w:abstractNumId w:val="33"/>
  </w:num>
  <w:num w:numId="25">
    <w:abstractNumId w:val="8"/>
  </w:num>
  <w:num w:numId="26">
    <w:abstractNumId w:val="25"/>
  </w:num>
  <w:num w:numId="27">
    <w:abstractNumId w:val="7"/>
  </w:num>
  <w:num w:numId="28">
    <w:abstractNumId w:val="35"/>
  </w:num>
  <w:num w:numId="29">
    <w:abstractNumId w:val="28"/>
  </w:num>
  <w:num w:numId="30">
    <w:abstractNumId w:val="20"/>
  </w:num>
  <w:num w:numId="31">
    <w:abstractNumId w:val="12"/>
  </w:num>
  <w:num w:numId="32">
    <w:abstractNumId w:val="21"/>
  </w:num>
  <w:num w:numId="33">
    <w:abstractNumId w:val="34"/>
  </w:num>
  <w:num w:numId="34">
    <w:abstractNumId w:val="2"/>
  </w:num>
  <w:num w:numId="35">
    <w:abstractNumId w:val="24"/>
  </w:num>
  <w:num w:numId="36">
    <w:abstractNumId w:val="26"/>
  </w:num>
  <w:num w:numId="37">
    <w:abstractNumId w:val="3"/>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efaultTabStop w:val="576"/>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5FE6"/>
    <w:rsid w:val="000174A3"/>
    <w:rsid w:val="000262AD"/>
    <w:rsid w:val="000278EB"/>
    <w:rsid w:val="000318AE"/>
    <w:rsid w:val="00036582"/>
    <w:rsid w:val="00084EB9"/>
    <w:rsid w:val="00093CB0"/>
    <w:rsid w:val="00096028"/>
    <w:rsid w:val="00096F26"/>
    <w:rsid w:val="000A391A"/>
    <w:rsid w:val="000B4E68"/>
    <w:rsid w:val="000C5F25"/>
    <w:rsid w:val="000D0483"/>
    <w:rsid w:val="000D5ED9"/>
    <w:rsid w:val="000E1ADA"/>
    <w:rsid w:val="000E2FA4"/>
    <w:rsid w:val="000E564B"/>
    <w:rsid w:val="000F66F6"/>
    <w:rsid w:val="000F6CCE"/>
    <w:rsid w:val="00103E1C"/>
    <w:rsid w:val="00113BB9"/>
    <w:rsid w:val="00116F0E"/>
    <w:rsid w:val="00117863"/>
    <w:rsid w:val="00122197"/>
    <w:rsid w:val="001309E6"/>
    <w:rsid w:val="001334C6"/>
    <w:rsid w:val="0013592A"/>
    <w:rsid w:val="00152401"/>
    <w:rsid w:val="00153F68"/>
    <w:rsid w:val="001561E2"/>
    <w:rsid w:val="00175D31"/>
    <w:rsid w:val="0019539C"/>
    <w:rsid w:val="001A74FD"/>
    <w:rsid w:val="001B789D"/>
    <w:rsid w:val="001C0A8C"/>
    <w:rsid w:val="001C0EF4"/>
    <w:rsid w:val="001D17CC"/>
    <w:rsid w:val="001E5675"/>
    <w:rsid w:val="001E64A9"/>
    <w:rsid w:val="001F322F"/>
    <w:rsid w:val="001F7384"/>
    <w:rsid w:val="0021681A"/>
    <w:rsid w:val="00222AD8"/>
    <w:rsid w:val="0022450E"/>
    <w:rsid w:val="00225B1E"/>
    <w:rsid w:val="00231C40"/>
    <w:rsid w:val="00254E02"/>
    <w:rsid w:val="00261080"/>
    <w:rsid w:val="00265087"/>
    <w:rsid w:val="00272AE8"/>
    <w:rsid w:val="00284A63"/>
    <w:rsid w:val="00292C4F"/>
    <w:rsid w:val="00292CAD"/>
    <w:rsid w:val="002A4E6A"/>
    <w:rsid w:val="002B301F"/>
    <w:rsid w:val="002E0443"/>
    <w:rsid w:val="002E11D0"/>
    <w:rsid w:val="002E1A1D"/>
    <w:rsid w:val="002E4B44"/>
    <w:rsid w:val="002E77F4"/>
    <w:rsid w:val="002F6EF0"/>
    <w:rsid w:val="002F78AB"/>
    <w:rsid w:val="00302D24"/>
    <w:rsid w:val="003037EB"/>
    <w:rsid w:val="0031278E"/>
    <w:rsid w:val="003157D0"/>
    <w:rsid w:val="003236A3"/>
    <w:rsid w:val="0032394F"/>
    <w:rsid w:val="00326542"/>
    <w:rsid w:val="00327050"/>
    <w:rsid w:val="003365CF"/>
    <w:rsid w:val="00340334"/>
    <w:rsid w:val="003477AC"/>
    <w:rsid w:val="00361070"/>
    <w:rsid w:val="0037014E"/>
    <w:rsid w:val="00371589"/>
    <w:rsid w:val="003739CB"/>
    <w:rsid w:val="0037432D"/>
    <w:rsid w:val="0038139E"/>
    <w:rsid w:val="003976CC"/>
    <w:rsid w:val="003B0E7A"/>
    <w:rsid w:val="003B1E98"/>
    <w:rsid w:val="003D32A5"/>
    <w:rsid w:val="003D381C"/>
    <w:rsid w:val="003E24F6"/>
    <w:rsid w:val="003F5CF4"/>
    <w:rsid w:val="00405DC9"/>
    <w:rsid w:val="00423B78"/>
    <w:rsid w:val="004311A3"/>
    <w:rsid w:val="00454A1D"/>
    <w:rsid w:val="00460918"/>
    <w:rsid w:val="0046265A"/>
    <w:rsid w:val="00462E16"/>
    <w:rsid w:val="00464C62"/>
    <w:rsid w:val="00475571"/>
    <w:rsid w:val="0048471B"/>
    <w:rsid w:val="00490B02"/>
    <w:rsid w:val="0049366F"/>
    <w:rsid w:val="004A3116"/>
    <w:rsid w:val="004A6E6B"/>
    <w:rsid w:val="004A7DE2"/>
    <w:rsid w:val="004C3D3E"/>
    <w:rsid w:val="004C5561"/>
    <w:rsid w:val="004C60B0"/>
    <w:rsid w:val="004D0079"/>
    <w:rsid w:val="004D74F6"/>
    <w:rsid w:val="004D7A2E"/>
    <w:rsid w:val="004E5DFC"/>
    <w:rsid w:val="004F30D7"/>
    <w:rsid w:val="00500FAD"/>
    <w:rsid w:val="005127A4"/>
    <w:rsid w:val="00525EA2"/>
    <w:rsid w:val="00545244"/>
    <w:rsid w:val="00555CB8"/>
    <w:rsid w:val="00555EA6"/>
    <w:rsid w:val="00576968"/>
    <w:rsid w:val="00577877"/>
    <w:rsid w:val="0058116D"/>
    <w:rsid w:val="005A4359"/>
    <w:rsid w:val="005A6944"/>
    <w:rsid w:val="005E0C08"/>
    <w:rsid w:val="005E4E23"/>
    <w:rsid w:val="005E52AD"/>
    <w:rsid w:val="005F2C49"/>
    <w:rsid w:val="005F599B"/>
    <w:rsid w:val="0060248C"/>
    <w:rsid w:val="006067CC"/>
    <w:rsid w:val="00607F0D"/>
    <w:rsid w:val="00614B48"/>
    <w:rsid w:val="00620773"/>
    <w:rsid w:val="00623829"/>
    <w:rsid w:val="00624A61"/>
    <w:rsid w:val="006320A2"/>
    <w:rsid w:val="006403DA"/>
    <w:rsid w:val="00645A10"/>
    <w:rsid w:val="00652A68"/>
    <w:rsid w:val="006609CF"/>
    <w:rsid w:val="00685516"/>
    <w:rsid w:val="00687802"/>
    <w:rsid w:val="00692057"/>
    <w:rsid w:val="0069306F"/>
    <w:rsid w:val="00697CEF"/>
    <w:rsid w:val="006A5B02"/>
    <w:rsid w:val="006A69C2"/>
    <w:rsid w:val="006B1F83"/>
    <w:rsid w:val="006B3F4F"/>
    <w:rsid w:val="006B7100"/>
    <w:rsid w:val="006C2FB1"/>
    <w:rsid w:val="006C6F41"/>
    <w:rsid w:val="006D6EE7"/>
    <w:rsid w:val="006E4F88"/>
    <w:rsid w:val="006F5958"/>
    <w:rsid w:val="0070052A"/>
    <w:rsid w:val="0070169A"/>
    <w:rsid w:val="007034FE"/>
    <w:rsid w:val="00704EDB"/>
    <w:rsid w:val="007050D5"/>
    <w:rsid w:val="0070708C"/>
    <w:rsid w:val="007137D5"/>
    <w:rsid w:val="007206CB"/>
    <w:rsid w:val="0073114D"/>
    <w:rsid w:val="0074663C"/>
    <w:rsid w:val="00750DCB"/>
    <w:rsid w:val="00753FCA"/>
    <w:rsid w:val="007554A3"/>
    <w:rsid w:val="00757386"/>
    <w:rsid w:val="007664EE"/>
    <w:rsid w:val="007771D3"/>
    <w:rsid w:val="00781027"/>
    <w:rsid w:val="00781585"/>
    <w:rsid w:val="00784075"/>
    <w:rsid w:val="00786E12"/>
    <w:rsid w:val="007B3A76"/>
    <w:rsid w:val="007D41EB"/>
    <w:rsid w:val="007E01EA"/>
    <w:rsid w:val="007E2DAA"/>
    <w:rsid w:val="007F14E0"/>
    <w:rsid w:val="007F1684"/>
    <w:rsid w:val="007F1D2D"/>
    <w:rsid w:val="008111FA"/>
    <w:rsid w:val="00811A84"/>
    <w:rsid w:val="008146D3"/>
    <w:rsid w:val="00820449"/>
    <w:rsid w:val="00825413"/>
    <w:rsid w:val="00834AB4"/>
    <w:rsid w:val="00847B4C"/>
    <w:rsid w:val="008541FB"/>
    <w:rsid w:val="0085547F"/>
    <w:rsid w:val="00861A93"/>
    <w:rsid w:val="0087051F"/>
    <w:rsid w:val="00883D20"/>
    <w:rsid w:val="00891296"/>
    <w:rsid w:val="008A5FEE"/>
    <w:rsid w:val="008B14A0"/>
    <w:rsid w:val="008C0752"/>
    <w:rsid w:val="008C1F61"/>
    <w:rsid w:val="008C2AEC"/>
    <w:rsid w:val="008C3CB6"/>
    <w:rsid w:val="008D10BC"/>
    <w:rsid w:val="008D33C5"/>
    <w:rsid w:val="008E30E8"/>
    <w:rsid w:val="008F12F7"/>
    <w:rsid w:val="008F22A0"/>
    <w:rsid w:val="008F58B2"/>
    <w:rsid w:val="009064EC"/>
    <w:rsid w:val="00913499"/>
    <w:rsid w:val="00933E81"/>
    <w:rsid w:val="00935DA6"/>
    <w:rsid w:val="00945A73"/>
    <w:rsid w:val="009524B3"/>
    <w:rsid w:val="009563C5"/>
    <w:rsid w:val="00972002"/>
    <w:rsid w:val="00973242"/>
    <w:rsid w:val="009773DF"/>
    <w:rsid w:val="00983EE0"/>
    <w:rsid w:val="0099400B"/>
    <w:rsid w:val="009A4849"/>
    <w:rsid w:val="009B6F3E"/>
    <w:rsid w:val="009D36BA"/>
    <w:rsid w:val="009F2BD3"/>
    <w:rsid w:val="009F6FD3"/>
    <w:rsid w:val="00A00D1F"/>
    <w:rsid w:val="00A072A2"/>
    <w:rsid w:val="00A234BF"/>
    <w:rsid w:val="00A30C84"/>
    <w:rsid w:val="00A35CCA"/>
    <w:rsid w:val="00A41934"/>
    <w:rsid w:val="00A51E67"/>
    <w:rsid w:val="00A552FD"/>
    <w:rsid w:val="00A55D18"/>
    <w:rsid w:val="00A60740"/>
    <w:rsid w:val="00A63150"/>
    <w:rsid w:val="00A70CF3"/>
    <w:rsid w:val="00A82B01"/>
    <w:rsid w:val="00A8313D"/>
    <w:rsid w:val="00AA7F49"/>
    <w:rsid w:val="00AD6F0C"/>
    <w:rsid w:val="00AD7A51"/>
    <w:rsid w:val="00AF2A78"/>
    <w:rsid w:val="00AF4B1B"/>
    <w:rsid w:val="00AF6450"/>
    <w:rsid w:val="00B11A16"/>
    <w:rsid w:val="00B11C59"/>
    <w:rsid w:val="00B1337E"/>
    <w:rsid w:val="00B14E2F"/>
    <w:rsid w:val="00B15B28"/>
    <w:rsid w:val="00B27225"/>
    <w:rsid w:val="00B363F7"/>
    <w:rsid w:val="00B47B42"/>
    <w:rsid w:val="00B51054"/>
    <w:rsid w:val="00B572B7"/>
    <w:rsid w:val="00B627BE"/>
    <w:rsid w:val="00B65EE8"/>
    <w:rsid w:val="00B863BF"/>
    <w:rsid w:val="00B87348"/>
    <w:rsid w:val="00B97609"/>
    <w:rsid w:val="00BA0007"/>
    <w:rsid w:val="00BA3992"/>
    <w:rsid w:val="00BA3E1D"/>
    <w:rsid w:val="00BB63E5"/>
    <w:rsid w:val="00BC1E13"/>
    <w:rsid w:val="00BC4453"/>
    <w:rsid w:val="00BC5412"/>
    <w:rsid w:val="00BD06B0"/>
    <w:rsid w:val="00BE1C44"/>
    <w:rsid w:val="00BE3E0E"/>
    <w:rsid w:val="00BF457E"/>
    <w:rsid w:val="00BF6FCF"/>
    <w:rsid w:val="00C01E2D"/>
    <w:rsid w:val="00C0457A"/>
    <w:rsid w:val="00C07507"/>
    <w:rsid w:val="00C13310"/>
    <w:rsid w:val="00C22686"/>
    <w:rsid w:val="00C261F2"/>
    <w:rsid w:val="00C26F08"/>
    <w:rsid w:val="00C3410A"/>
    <w:rsid w:val="00C3609F"/>
    <w:rsid w:val="00C4361D"/>
    <w:rsid w:val="00C50BCE"/>
    <w:rsid w:val="00C57E48"/>
    <w:rsid w:val="00C760F8"/>
    <w:rsid w:val="00C91156"/>
    <w:rsid w:val="00C918A7"/>
    <w:rsid w:val="00CC176C"/>
    <w:rsid w:val="00CC5843"/>
    <w:rsid w:val="00CD1FEA"/>
    <w:rsid w:val="00CD2136"/>
    <w:rsid w:val="00CD260F"/>
    <w:rsid w:val="00CD5E13"/>
    <w:rsid w:val="00CD69A3"/>
    <w:rsid w:val="00CE032C"/>
    <w:rsid w:val="00CE3215"/>
    <w:rsid w:val="00CF05DA"/>
    <w:rsid w:val="00CF22C4"/>
    <w:rsid w:val="00D04A29"/>
    <w:rsid w:val="00D105EA"/>
    <w:rsid w:val="00D12307"/>
    <w:rsid w:val="00D14D22"/>
    <w:rsid w:val="00D45298"/>
    <w:rsid w:val="00D57D5E"/>
    <w:rsid w:val="00D64EB1"/>
    <w:rsid w:val="00D80DBD"/>
    <w:rsid w:val="00D82358"/>
    <w:rsid w:val="00D82F04"/>
    <w:rsid w:val="00D83EE1"/>
    <w:rsid w:val="00DA233E"/>
    <w:rsid w:val="00DB4EA7"/>
    <w:rsid w:val="00DC08C5"/>
    <w:rsid w:val="00DD28A2"/>
    <w:rsid w:val="00E02EAF"/>
    <w:rsid w:val="00E0405C"/>
    <w:rsid w:val="00E16237"/>
    <w:rsid w:val="00E7545A"/>
    <w:rsid w:val="00E7649F"/>
    <w:rsid w:val="00EA7EA9"/>
    <w:rsid w:val="00EB1125"/>
    <w:rsid w:val="00EC358B"/>
    <w:rsid w:val="00EC52EC"/>
    <w:rsid w:val="00ED329B"/>
    <w:rsid w:val="00EE07AB"/>
    <w:rsid w:val="00EE0D45"/>
    <w:rsid w:val="00EE658A"/>
    <w:rsid w:val="00EF441F"/>
    <w:rsid w:val="00EF7669"/>
    <w:rsid w:val="00F06D17"/>
    <w:rsid w:val="00F31F66"/>
    <w:rsid w:val="00F352E1"/>
    <w:rsid w:val="00F40A11"/>
    <w:rsid w:val="00F443B7"/>
    <w:rsid w:val="00F447FB"/>
    <w:rsid w:val="00F713FF"/>
    <w:rsid w:val="00F7282A"/>
    <w:rsid w:val="00F73CD5"/>
    <w:rsid w:val="00F80D72"/>
    <w:rsid w:val="00F82D2A"/>
    <w:rsid w:val="00F84A57"/>
    <w:rsid w:val="00F90D2E"/>
    <w:rsid w:val="00F95DBB"/>
    <w:rsid w:val="00FA5405"/>
    <w:rsid w:val="00FA5E9A"/>
    <w:rsid w:val="00FA69C8"/>
    <w:rsid w:val="00FB5B85"/>
    <w:rsid w:val="00FC0585"/>
    <w:rsid w:val="00FD28A1"/>
    <w:rsid w:val="00FD76D4"/>
    <w:rsid w:val="00FE522F"/>
    <w:rsid w:val="00FF05F1"/>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endnote reference" w:uiPriority="0"/>
    <w:lsdException w:name="endnote text" w:uiPriority="0"/>
    <w:lsdException w:name="Title" w:locked="1" w:uiPriority="10"/>
    <w:lsdException w:name="Default Paragraph Font" w:uiPriority="1" w:unhideWhenUsed="1"/>
    <w:lsdException w:name="Body Text Indent" w:uiPriority="0"/>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semiHidden="0" w:uiPriority="19" w:qFormat="1"/>
    <w:lsdException w:name="Intense Emphasis" w:locked="1" w:semiHidden="0" w:uiPriority="21" w:qFormat="1"/>
    <w:lsdException w:name="Subtle Reference" w:locked="1" w:semiHidden="0" w:uiPriority="31" w:qFormat="1"/>
    <w:lsdException w:name="Intense Reference" w:locked="1" w:semiHidden="0" w:uiPriority="32" w:qFormat="1"/>
    <w:lsdException w:name="Book Title" w:locked="1" w:semiHidden="0" w:uiPriority="33" w:qFormat="1"/>
    <w:lsdException w:name="Bibliography" w:uiPriority="37" w:unhideWhenUsed="1"/>
    <w:lsdException w:name="TOC Heading" w:uiPriority="39" w:unhideWhenUsed="1" w:qFormat="1"/>
  </w:latentStyles>
  <w:style w:type="paragraph" w:default="1" w:styleId="Normal">
    <w:name w:val="Normal"/>
    <w:qFormat/>
    <w:rsid w:val="007B3A7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uiPriority w:val="99"/>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uiPriority w:val="99"/>
    <w:rsid w:val="00C07507"/>
    <w:rPr>
      <w:rFonts w:ascii="Arial" w:hAnsi="Arial" w:cs="Arial"/>
      <w:b/>
      <w:sz w:val="44"/>
      <w:szCs w:val="48"/>
    </w:rPr>
  </w:style>
  <w:style w:type="paragraph" w:customStyle="1" w:styleId="A-CH">
    <w:name w:val="A- CH"/>
    <w:basedOn w:val="Normal"/>
    <w:link w:val="A-CHChar"/>
    <w:uiPriority w:val="99"/>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uiPriority w:val="99"/>
    <w:rsid w:val="00C07507"/>
    <w:rPr>
      <w:rFonts w:ascii="Arial" w:hAnsi="Arial" w:cs="Arial"/>
      <w:b/>
      <w:sz w:val="36"/>
      <w:szCs w:val="40"/>
    </w:rPr>
  </w:style>
  <w:style w:type="paragraph" w:customStyle="1" w:styleId="A-DH">
    <w:name w:val="A- DH"/>
    <w:basedOn w:val="Normal"/>
    <w:link w:val="A-DHChar"/>
    <w:uiPriority w:val="99"/>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uiPriority w:val="99"/>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uiPriority w:val="99"/>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uiPriority w:val="99"/>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uiPriority w:val="99"/>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uiPriority w:val="99"/>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uiPriority w:val="99"/>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uiPriority w:val="99"/>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D82F04"/>
    <w:rPr>
      <w:sz w:val="18"/>
      <w:szCs w:val="18"/>
    </w:rPr>
  </w:style>
  <w:style w:type="paragraph" w:styleId="CommentText">
    <w:name w:val="annotation text"/>
    <w:basedOn w:val="Normal"/>
    <w:link w:val="CommentTextChar"/>
    <w:uiPriority w:val="99"/>
    <w:semiHidden/>
    <w:rsid w:val="00D82F04"/>
    <w:rPr>
      <w:szCs w:val="24"/>
    </w:rPr>
  </w:style>
  <w:style w:type="character" w:customStyle="1" w:styleId="CommentTextChar">
    <w:name w:val="Comment Text Char"/>
    <w:basedOn w:val="DefaultParagraphFont"/>
    <w:link w:val="CommentText"/>
    <w:uiPriority w:val="99"/>
    <w:semiHidden/>
    <w:rsid w:val="00D82F04"/>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D82F04"/>
    <w:rPr>
      <w:b/>
      <w:bCs/>
      <w:sz w:val="20"/>
      <w:szCs w:val="20"/>
    </w:rPr>
  </w:style>
  <w:style w:type="character" w:customStyle="1" w:styleId="CommentSubjectChar">
    <w:name w:val="Comment Subject Char"/>
    <w:basedOn w:val="CommentTextChar"/>
    <w:link w:val="CommentSubject"/>
    <w:uiPriority w:val="99"/>
    <w:semiHidden/>
    <w:rsid w:val="00D82F04"/>
    <w:rPr>
      <w:rFonts w:ascii="Times New Roman" w:eastAsia="Times New Roman" w:hAnsi="Times New Roman" w:cs="Times New Roman"/>
      <w:b/>
      <w:bCs/>
      <w:sz w:val="20"/>
      <w:szCs w:val="20"/>
    </w:rPr>
  </w:style>
  <w:style w:type="paragraph" w:customStyle="1" w:styleId="DissertationGeneva">
    <w:name w:val="Dissertation Geneva"/>
    <w:aliases w:val="dg"/>
    <w:basedOn w:val="Normal"/>
    <w:rsid w:val="008C1F61"/>
    <w:pPr>
      <w:spacing w:line="480" w:lineRule="atLeast"/>
      <w:ind w:firstLine="720"/>
    </w:pPr>
    <w:rPr>
      <w:rFonts w:ascii="Geneva" w:hAnsi="Geneva"/>
      <w:sz w:val="20"/>
    </w:rPr>
  </w:style>
  <w:style w:type="paragraph" w:styleId="Header">
    <w:name w:val="header"/>
    <w:basedOn w:val="Normal"/>
    <w:link w:val="HeaderChar"/>
    <w:uiPriority w:val="99"/>
    <w:unhideWhenUsed/>
    <w:qFormat/>
    <w:rsid w:val="007F1684"/>
    <w:pPr>
      <w:tabs>
        <w:tab w:val="center" w:pos="4680"/>
        <w:tab w:val="right" w:pos="9360"/>
      </w:tabs>
    </w:pPr>
  </w:style>
  <w:style w:type="character" w:customStyle="1" w:styleId="HeaderChar">
    <w:name w:val="Header Char"/>
    <w:basedOn w:val="DefaultParagraphFont"/>
    <w:link w:val="Header"/>
    <w:uiPriority w:val="99"/>
    <w:rsid w:val="007F1684"/>
    <w:rPr>
      <w:rFonts w:ascii="Times New Roman" w:eastAsia="Times New Roman" w:hAnsi="Times New Roman" w:cs="Times New Roman"/>
      <w:sz w:val="24"/>
      <w:szCs w:val="20"/>
    </w:rPr>
  </w:style>
  <w:style w:type="paragraph" w:styleId="EndnoteText">
    <w:name w:val="endnote text"/>
    <w:basedOn w:val="Normal"/>
    <w:link w:val="EndnoteTextChar"/>
    <w:semiHidden/>
    <w:rsid w:val="006B1F83"/>
    <w:pPr>
      <w:overflowPunct w:val="0"/>
      <w:autoSpaceDE w:val="0"/>
      <w:autoSpaceDN w:val="0"/>
      <w:adjustRightInd w:val="0"/>
      <w:textAlignment w:val="baseline"/>
    </w:pPr>
    <w:rPr>
      <w:sz w:val="20"/>
    </w:rPr>
  </w:style>
  <w:style w:type="character" w:customStyle="1" w:styleId="EndnoteTextChar">
    <w:name w:val="Endnote Text Char"/>
    <w:basedOn w:val="DefaultParagraphFont"/>
    <w:link w:val="EndnoteText"/>
    <w:semiHidden/>
    <w:rsid w:val="006B1F83"/>
    <w:rPr>
      <w:rFonts w:ascii="Times New Roman" w:eastAsia="Times New Roman" w:hAnsi="Times New Roman" w:cs="Times New Roman"/>
      <w:sz w:val="20"/>
      <w:szCs w:val="20"/>
    </w:rPr>
  </w:style>
  <w:style w:type="character" w:styleId="EndnoteReference">
    <w:name w:val="endnote reference"/>
    <w:basedOn w:val="DefaultParagraphFont"/>
    <w:semiHidden/>
    <w:rsid w:val="006B1F83"/>
    <w:rPr>
      <w:vertAlign w:val="superscript"/>
    </w:rPr>
  </w:style>
  <w:style w:type="paragraph" w:styleId="BodyTextIndent">
    <w:name w:val="Body Text Indent"/>
    <w:basedOn w:val="Normal"/>
    <w:link w:val="BodyTextIndentChar"/>
    <w:rsid w:val="001D17CC"/>
    <w:pPr>
      <w:spacing w:line="480" w:lineRule="auto"/>
      <w:ind w:left="720"/>
    </w:pPr>
    <w:rPr>
      <w:rFonts w:eastAsia="Times"/>
      <w:sz w:val="20"/>
    </w:rPr>
  </w:style>
  <w:style w:type="character" w:customStyle="1" w:styleId="BodyTextIndentChar">
    <w:name w:val="Body Text Indent Char"/>
    <w:basedOn w:val="DefaultParagraphFont"/>
    <w:link w:val="BodyTextIndent"/>
    <w:rsid w:val="001D17CC"/>
    <w:rPr>
      <w:rFonts w:ascii="Times New Roman" w:eastAsia="Times"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endnote reference" w:uiPriority="0"/>
    <w:lsdException w:name="endnote text" w:uiPriority="0"/>
    <w:lsdException w:name="Title" w:locked="1" w:uiPriority="10"/>
    <w:lsdException w:name="Default Paragraph Font" w:uiPriority="1" w:unhideWhenUsed="1"/>
    <w:lsdException w:name="Body Text Indent" w:uiPriority="0"/>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semiHidden="0" w:uiPriority="19" w:qFormat="1"/>
    <w:lsdException w:name="Intense Emphasis" w:locked="1" w:semiHidden="0" w:uiPriority="21" w:qFormat="1"/>
    <w:lsdException w:name="Subtle Reference" w:locked="1" w:semiHidden="0" w:uiPriority="31" w:qFormat="1"/>
    <w:lsdException w:name="Intense Reference" w:locked="1" w:semiHidden="0" w:uiPriority="32" w:qFormat="1"/>
    <w:lsdException w:name="Book Title" w:locked="1" w:semiHidden="0" w:uiPriority="33" w:qFormat="1"/>
    <w:lsdException w:name="Bibliography" w:uiPriority="37" w:unhideWhenUsed="1"/>
    <w:lsdException w:name="TOC Heading" w:uiPriority="39" w:unhideWhenUsed="1" w:qFormat="1"/>
  </w:latentStyles>
  <w:style w:type="paragraph" w:default="1" w:styleId="Normal">
    <w:name w:val="Normal"/>
    <w:qFormat/>
    <w:rsid w:val="007B3A7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uiPriority w:val="99"/>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uiPriority w:val="99"/>
    <w:rsid w:val="00C07507"/>
    <w:rPr>
      <w:rFonts w:ascii="Arial" w:hAnsi="Arial" w:cs="Arial"/>
      <w:b/>
      <w:sz w:val="44"/>
      <w:szCs w:val="48"/>
    </w:rPr>
  </w:style>
  <w:style w:type="paragraph" w:customStyle="1" w:styleId="A-CH">
    <w:name w:val="A- CH"/>
    <w:basedOn w:val="Normal"/>
    <w:link w:val="A-CHChar"/>
    <w:uiPriority w:val="99"/>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uiPriority w:val="99"/>
    <w:rsid w:val="00C07507"/>
    <w:rPr>
      <w:rFonts w:ascii="Arial" w:hAnsi="Arial" w:cs="Arial"/>
      <w:b/>
      <w:sz w:val="36"/>
      <w:szCs w:val="40"/>
    </w:rPr>
  </w:style>
  <w:style w:type="paragraph" w:customStyle="1" w:styleId="A-DH">
    <w:name w:val="A- DH"/>
    <w:basedOn w:val="Normal"/>
    <w:link w:val="A-DHChar"/>
    <w:uiPriority w:val="99"/>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uiPriority w:val="99"/>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uiPriority w:val="99"/>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uiPriority w:val="99"/>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uiPriority w:val="99"/>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uiPriority w:val="99"/>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uiPriority w:val="99"/>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uiPriority w:val="99"/>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D82F04"/>
    <w:rPr>
      <w:sz w:val="18"/>
      <w:szCs w:val="18"/>
    </w:rPr>
  </w:style>
  <w:style w:type="paragraph" w:styleId="CommentText">
    <w:name w:val="annotation text"/>
    <w:basedOn w:val="Normal"/>
    <w:link w:val="CommentTextChar"/>
    <w:uiPriority w:val="99"/>
    <w:semiHidden/>
    <w:rsid w:val="00D82F04"/>
    <w:rPr>
      <w:szCs w:val="24"/>
    </w:rPr>
  </w:style>
  <w:style w:type="character" w:customStyle="1" w:styleId="CommentTextChar">
    <w:name w:val="Comment Text Char"/>
    <w:basedOn w:val="DefaultParagraphFont"/>
    <w:link w:val="CommentText"/>
    <w:uiPriority w:val="99"/>
    <w:semiHidden/>
    <w:rsid w:val="00D82F04"/>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D82F04"/>
    <w:rPr>
      <w:b/>
      <w:bCs/>
      <w:sz w:val="20"/>
      <w:szCs w:val="20"/>
    </w:rPr>
  </w:style>
  <w:style w:type="character" w:customStyle="1" w:styleId="CommentSubjectChar">
    <w:name w:val="Comment Subject Char"/>
    <w:basedOn w:val="CommentTextChar"/>
    <w:link w:val="CommentSubject"/>
    <w:uiPriority w:val="99"/>
    <w:semiHidden/>
    <w:rsid w:val="00D82F04"/>
    <w:rPr>
      <w:rFonts w:ascii="Times New Roman" w:eastAsia="Times New Roman" w:hAnsi="Times New Roman" w:cs="Times New Roman"/>
      <w:b/>
      <w:bCs/>
      <w:sz w:val="20"/>
      <w:szCs w:val="20"/>
    </w:rPr>
  </w:style>
  <w:style w:type="paragraph" w:customStyle="1" w:styleId="DissertationGeneva">
    <w:name w:val="Dissertation Geneva"/>
    <w:aliases w:val="dg"/>
    <w:basedOn w:val="Normal"/>
    <w:rsid w:val="008C1F61"/>
    <w:pPr>
      <w:spacing w:line="480" w:lineRule="atLeast"/>
      <w:ind w:firstLine="720"/>
    </w:pPr>
    <w:rPr>
      <w:rFonts w:ascii="Geneva" w:hAnsi="Geneva"/>
      <w:sz w:val="20"/>
    </w:rPr>
  </w:style>
  <w:style w:type="paragraph" w:styleId="Header">
    <w:name w:val="header"/>
    <w:basedOn w:val="Normal"/>
    <w:link w:val="HeaderChar"/>
    <w:uiPriority w:val="99"/>
    <w:unhideWhenUsed/>
    <w:qFormat/>
    <w:rsid w:val="007F1684"/>
    <w:pPr>
      <w:tabs>
        <w:tab w:val="center" w:pos="4680"/>
        <w:tab w:val="right" w:pos="9360"/>
      </w:tabs>
    </w:pPr>
  </w:style>
  <w:style w:type="character" w:customStyle="1" w:styleId="HeaderChar">
    <w:name w:val="Header Char"/>
    <w:basedOn w:val="DefaultParagraphFont"/>
    <w:link w:val="Header"/>
    <w:uiPriority w:val="99"/>
    <w:rsid w:val="007F1684"/>
    <w:rPr>
      <w:rFonts w:ascii="Times New Roman" w:eastAsia="Times New Roman" w:hAnsi="Times New Roman" w:cs="Times New Roman"/>
      <w:sz w:val="24"/>
      <w:szCs w:val="20"/>
    </w:rPr>
  </w:style>
  <w:style w:type="paragraph" w:styleId="EndnoteText">
    <w:name w:val="endnote text"/>
    <w:basedOn w:val="Normal"/>
    <w:link w:val="EndnoteTextChar"/>
    <w:semiHidden/>
    <w:rsid w:val="006B1F83"/>
    <w:pPr>
      <w:overflowPunct w:val="0"/>
      <w:autoSpaceDE w:val="0"/>
      <w:autoSpaceDN w:val="0"/>
      <w:adjustRightInd w:val="0"/>
      <w:textAlignment w:val="baseline"/>
    </w:pPr>
    <w:rPr>
      <w:sz w:val="20"/>
    </w:rPr>
  </w:style>
  <w:style w:type="character" w:customStyle="1" w:styleId="EndnoteTextChar">
    <w:name w:val="Endnote Text Char"/>
    <w:basedOn w:val="DefaultParagraphFont"/>
    <w:link w:val="EndnoteText"/>
    <w:semiHidden/>
    <w:rsid w:val="006B1F83"/>
    <w:rPr>
      <w:rFonts w:ascii="Times New Roman" w:eastAsia="Times New Roman" w:hAnsi="Times New Roman" w:cs="Times New Roman"/>
      <w:sz w:val="20"/>
      <w:szCs w:val="20"/>
    </w:rPr>
  </w:style>
  <w:style w:type="character" w:styleId="EndnoteReference">
    <w:name w:val="endnote reference"/>
    <w:basedOn w:val="DefaultParagraphFont"/>
    <w:semiHidden/>
    <w:rsid w:val="006B1F83"/>
    <w:rPr>
      <w:vertAlign w:val="superscript"/>
    </w:rPr>
  </w:style>
  <w:style w:type="paragraph" w:styleId="BodyTextIndent">
    <w:name w:val="Body Text Indent"/>
    <w:basedOn w:val="Normal"/>
    <w:link w:val="BodyTextIndentChar"/>
    <w:rsid w:val="001D17CC"/>
    <w:pPr>
      <w:spacing w:line="480" w:lineRule="auto"/>
      <w:ind w:left="720"/>
    </w:pPr>
    <w:rPr>
      <w:rFonts w:eastAsia="Times"/>
      <w:sz w:val="20"/>
    </w:rPr>
  </w:style>
  <w:style w:type="character" w:customStyle="1" w:styleId="BodyTextIndentChar">
    <w:name w:val="Body Text Indent Char"/>
    <w:basedOn w:val="DefaultParagraphFont"/>
    <w:link w:val="BodyTextIndent"/>
    <w:rsid w:val="001D17CC"/>
    <w:rPr>
      <w:rFonts w:ascii="Times New Roman" w:eastAsia="Times"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0230F-E2CF-4C50-B59F-19775D5C1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cyang</cp:lastModifiedBy>
  <cp:revision>5</cp:revision>
  <cp:lastPrinted>2010-01-08T18:19:00Z</cp:lastPrinted>
  <dcterms:created xsi:type="dcterms:W3CDTF">2010-11-11T21:36:00Z</dcterms:created>
  <dcterms:modified xsi:type="dcterms:W3CDTF">2010-12-02T18:51:00Z</dcterms:modified>
</cp:coreProperties>
</file>