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E02" w:rsidRDefault="00052E02" w:rsidP="00D17303">
      <w:pPr>
        <w:pStyle w:val="A-BH"/>
        <w:rPr>
          <w:rFonts w:cs="Times New Roman"/>
        </w:rPr>
      </w:pPr>
      <w:r w:rsidRPr="00086D8D">
        <w:t>Introduction to the Pentateuch</w:t>
      </w:r>
    </w:p>
    <w:p w:rsidR="00052E02" w:rsidRDefault="00052E02" w:rsidP="002E5E2A">
      <w:pPr>
        <w:pStyle w:val="A-CH"/>
        <w:spacing w:before="360" w:after="120"/>
        <w:rPr>
          <w:rFonts w:cs="Times New Roman"/>
        </w:rPr>
      </w:pPr>
      <w:r w:rsidRPr="00086D8D">
        <w:t>Background</w:t>
      </w:r>
    </w:p>
    <w:p w:rsidR="00052E02" w:rsidRDefault="00052E02" w:rsidP="00D17303">
      <w:pPr>
        <w:pStyle w:val="A-Text"/>
      </w:pPr>
      <w:r w:rsidRPr="00086D8D">
        <w:t>The Hebrew Bible or Old Testament</w:t>
      </w:r>
      <w:r>
        <w:t xml:space="preserve"> </w:t>
      </w:r>
      <w:r w:rsidRPr="00086D8D">
        <w:t>took shape over many centuries.</w:t>
      </w:r>
      <w:r>
        <w:t xml:space="preserve"> </w:t>
      </w:r>
      <w:r w:rsidRPr="00086D8D">
        <w:t>Long before the final written form of the</w:t>
      </w:r>
      <w:r>
        <w:t xml:space="preserve"> </w:t>
      </w:r>
      <w:r w:rsidRPr="00086D8D">
        <w:t>Scriptures came to be, bits and pieces of it</w:t>
      </w:r>
      <w:r>
        <w:t xml:space="preserve"> </w:t>
      </w:r>
      <w:r w:rsidRPr="00086D8D">
        <w:t>were told orally, sometimes as stories,</w:t>
      </w:r>
      <w:r>
        <w:t xml:space="preserve"> </w:t>
      </w:r>
      <w:r w:rsidRPr="00086D8D">
        <w:t>sometimes in worship rituals, sometimes</w:t>
      </w:r>
      <w:r>
        <w:t xml:space="preserve"> </w:t>
      </w:r>
      <w:r w:rsidRPr="00086D8D">
        <w:t>as legal judgments about particular disputed</w:t>
      </w:r>
      <w:r>
        <w:t xml:space="preserve"> </w:t>
      </w:r>
      <w:r w:rsidRPr="00086D8D">
        <w:t>claims. In time, these oral traditions,</w:t>
      </w:r>
      <w:r>
        <w:t xml:space="preserve"> </w:t>
      </w:r>
      <w:r w:rsidRPr="00086D8D">
        <w:t>long passed down by word of</w:t>
      </w:r>
      <w:r>
        <w:t xml:space="preserve"> </w:t>
      </w:r>
      <w:r w:rsidRPr="00086D8D">
        <w:t>mouth, were codified in written form as</w:t>
      </w:r>
      <w:r>
        <w:t xml:space="preserve"> </w:t>
      </w:r>
      <w:r w:rsidRPr="00086D8D">
        <w:t>stories, liturgies, and legal texts. Finally,</w:t>
      </w:r>
      <w:r>
        <w:t xml:space="preserve"> </w:t>
      </w:r>
      <w:r w:rsidRPr="00086D8D">
        <w:t>after many rewrites and much editing, the</w:t>
      </w:r>
      <w:r>
        <w:t xml:space="preserve"> </w:t>
      </w:r>
      <w:r w:rsidRPr="00086D8D">
        <w:t>Old Testament emerged as the Sacred</w:t>
      </w:r>
      <w:r>
        <w:t xml:space="preserve"> </w:t>
      </w:r>
      <w:r w:rsidRPr="00086D8D">
        <w:t>Scriptures divided into three sections. The</w:t>
      </w:r>
      <w:r>
        <w:t xml:space="preserve"> </w:t>
      </w:r>
      <w:r w:rsidRPr="00086D8D">
        <w:t>first, and most authoritative section of the</w:t>
      </w:r>
      <w:r>
        <w:t xml:space="preserve"> </w:t>
      </w:r>
      <w:r w:rsidRPr="00086D8D">
        <w:t>Bible for most Jews is called the Torah, a</w:t>
      </w:r>
      <w:r>
        <w:t xml:space="preserve"> </w:t>
      </w:r>
      <w:r w:rsidRPr="00086D8D">
        <w:t>Hebrew word often translated as “law” or</w:t>
      </w:r>
      <w:r>
        <w:t xml:space="preserve"> </w:t>
      </w:r>
      <w:r w:rsidRPr="00086D8D">
        <w:t>“the Law.” The second and third sections</w:t>
      </w:r>
      <w:r>
        <w:t xml:space="preserve"> </w:t>
      </w:r>
      <w:r w:rsidRPr="00086D8D">
        <w:t>of the Hebrew Scriptures are called the</w:t>
      </w:r>
      <w:r>
        <w:t xml:space="preserve"> </w:t>
      </w:r>
      <w:r w:rsidRPr="00086D8D">
        <w:t>Prophets, and the Writings, respectively.</w:t>
      </w:r>
      <w:r>
        <w:t xml:space="preserve"> </w:t>
      </w:r>
      <w:r w:rsidRPr="00086D8D">
        <w:t>Hints of this three-part canon of the Scriptures</w:t>
      </w:r>
      <w:r>
        <w:t xml:space="preserve"> </w:t>
      </w:r>
      <w:r w:rsidRPr="00086D8D">
        <w:t>are found in the foreword of Sirach</w:t>
      </w:r>
      <w:r>
        <w:t xml:space="preserve"> (Ecclesiasticus) around 180 BC</w:t>
      </w:r>
      <w:r w:rsidRPr="00086D8D">
        <w:t xml:space="preserve"> and later</w:t>
      </w:r>
      <w:r>
        <w:t xml:space="preserve"> </w:t>
      </w:r>
      <w:r w:rsidRPr="00086D8D">
        <w:t>in the New Testament (M</w:t>
      </w:r>
      <w:r>
        <w:t>a</w:t>
      </w:r>
      <w:r w:rsidRPr="00086D8D">
        <w:t>t</w:t>
      </w:r>
      <w:r>
        <w:t>thew 5:17,</w:t>
      </w:r>
      <w:r w:rsidRPr="00086D8D">
        <w:t xml:space="preserve"> L</w:t>
      </w:r>
      <w:r>
        <w:t xml:space="preserve">uke 14:44, </w:t>
      </w:r>
      <w:r w:rsidRPr="00086D8D">
        <w:t>J</w:t>
      </w:r>
      <w:r>
        <w:t>oh</w:t>
      </w:r>
      <w:r w:rsidRPr="00086D8D">
        <w:t>n 1:45), but the roots of this division go</w:t>
      </w:r>
      <w:r>
        <w:t xml:space="preserve"> </w:t>
      </w:r>
      <w:r w:rsidRPr="00086D8D">
        <w:t>back much earlier. As the canon of the</w:t>
      </w:r>
      <w:r>
        <w:t xml:space="preserve"> </w:t>
      </w:r>
      <w:r w:rsidRPr="00086D8D">
        <w:t>Scriptures evolved over time, and with the</w:t>
      </w:r>
      <w:r>
        <w:t xml:space="preserve"> </w:t>
      </w:r>
      <w:r w:rsidRPr="00086D8D">
        <w:t>inclusion of additional books, the Old Testament</w:t>
      </w:r>
      <w:r>
        <w:t xml:space="preserve"> </w:t>
      </w:r>
      <w:r w:rsidRPr="00086D8D">
        <w:t>canon as we know it was divided</w:t>
      </w:r>
      <w:r>
        <w:t xml:space="preserve"> </w:t>
      </w:r>
      <w:r w:rsidRPr="00086D8D">
        <w:t>differently.</w:t>
      </w:r>
    </w:p>
    <w:p w:rsidR="00052E02" w:rsidRDefault="00052E02" w:rsidP="002E5E2A">
      <w:pPr>
        <w:pStyle w:val="A-CH"/>
        <w:spacing w:before="360" w:after="120"/>
        <w:rPr>
          <w:rFonts w:cs="Times New Roman"/>
        </w:rPr>
      </w:pPr>
      <w:r w:rsidRPr="00086D8D">
        <w:t>Torah: The Heart of the Old Testament</w:t>
      </w:r>
    </w:p>
    <w:p w:rsidR="00052E02" w:rsidRDefault="00052E02" w:rsidP="00D17303">
      <w:pPr>
        <w:pStyle w:val="A-Text"/>
      </w:pPr>
      <w:r>
        <w:t xml:space="preserve"> </w:t>
      </w:r>
      <w:r w:rsidRPr="00086D8D">
        <w:t>The Torah is considered the heart of</w:t>
      </w:r>
      <w:r>
        <w:t xml:space="preserve"> </w:t>
      </w:r>
      <w:r w:rsidRPr="00086D8D">
        <w:t>the Old Testament, as the Gospels are</w:t>
      </w:r>
      <w:r>
        <w:t xml:space="preserve"> </w:t>
      </w:r>
      <w:r w:rsidRPr="00086D8D">
        <w:t>the heart of the New Testament. The term</w:t>
      </w:r>
      <w:r>
        <w:t xml:space="preserve"> </w:t>
      </w:r>
      <w:r w:rsidRPr="00971E49">
        <w:rPr>
          <w:i/>
          <w:iCs/>
        </w:rPr>
        <w:t xml:space="preserve">Torah </w:t>
      </w:r>
      <w:r w:rsidRPr="00086D8D">
        <w:t>can also be understood more broadly</w:t>
      </w:r>
      <w:r>
        <w:t xml:space="preserve"> </w:t>
      </w:r>
      <w:r w:rsidRPr="00086D8D">
        <w:t>than simply “law” or even a set of laws.</w:t>
      </w:r>
      <w:r>
        <w:t xml:space="preserve"> </w:t>
      </w:r>
      <w:r w:rsidRPr="00086D8D">
        <w:t>Its meaning includes general instructions</w:t>
      </w:r>
      <w:r>
        <w:t xml:space="preserve"> </w:t>
      </w:r>
      <w:r w:rsidRPr="00086D8D">
        <w:t>or teaching, including the story or narrative</w:t>
      </w:r>
      <w:r>
        <w:t xml:space="preserve"> </w:t>
      </w:r>
      <w:r w:rsidRPr="00086D8D">
        <w:t>into which these instructions or laws</w:t>
      </w:r>
      <w:r>
        <w:t xml:space="preserve"> </w:t>
      </w:r>
      <w:r w:rsidRPr="00086D8D">
        <w:t>are sometimes placed. Law, instruction,</w:t>
      </w:r>
      <w:r>
        <w:t xml:space="preserve"> </w:t>
      </w:r>
      <w:r w:rsidRPr="00086D8D">
        <w:t>teaching, and story are all found in the</w:t>
      </w:r>
      <w:r>
        <w:t xml:space="preserve"> </w:t>
      </w:r>
      <w:r w:rsidRPr="00086D8D">
        <w:t>Torah of the Scriptures, that is, the first</w:t>
      </w:r>
      <w:r>
        <w:t xml:space="preserve"> </w:t>
      </w:r>
      <w:r w:rsidRPr="00086D8D">
        <w:t>five books of the Bible known to non-Hebrew readers as the Books of Genesis,</w:t>
      </w:r>
      <w:r>
        <w:t xml:space="preserve"> </w:t>
      </w:r>
      <w:r w:rsidRPr="00086D8D">
        <w:t>Exodus, Leviticus, Numbers, and Deuteronomy.</w:t>
      </w:r>
      <w:r>
        <w:t xml:space="preserve"> </w:t>
      </w:r>
      <w:r w:rsidRPr="00086D8D">
        <w:t>As the Hebrew Scriptures were</w:t>
      </w:r>
      <w:r>
        <w:t xml:space="preserve"> </w:t>
      </w:r>
      <w:r w:rsidRPr="00086D8D">
        <w:t>translated into Greek, the name for this</w:t>
      </w:r>
      <w:r>
        <w:t xml:space="preserve"> </w:t>
      </w:r>
      <w:r w:rsidRPr="00086D8D">
        <w:t>first and most sacred part of the Scriptures</w:t>
      </w:r>
      <w:r>
        <w:t xml:space="preserve"> </w:t>
      </w:r>
      <w:r w:rsidRPr="00086D8D">
        <w:t>became known by its Greek title, “The</w:t>
      </w:r>
      <w:r>
        <w:t xml:space="preserve"> </w:t>
      </w:r>
      <w:r w:rsidRPr="00086D8D">
        <w:t>Pentateuch,” meaning, “the five books.”</w:t>
      </w:r>
    </w:p>
    <w:p w:rsidR="00052E02" w:rsidRDefault="00052E02" w:rsidP="00D17303">
      <w:pPr>
        <w:pStyle w:val="A-Text"/>
      </w:pPr>
      <w:r>
        <w:tab/>
      </w:r>
      <w:r w:rsidRPr="00086D8D">
        <w:t>The Torah or Pentateuch opens with the</w:t>
      </w:r>
      <w:r>
        <w:t xml:space="preserve"> </w:t>
      </w:r>
      <w:r w:rsidRPr="00086D8D">
        <w:t>story of Creation and concludes with the</w:t>
      </w:r>
      <w:r>
        <w:t xml:space="preserve"> </w:t>
      </w:r>
      <w:r w:rsidRPr="00086D8D">
        <w:t>death and mourning of one of its central</w:t>
      </w:r>
      <w:r>
        <w:t xml:space="preserve"> </w:t>
      </w:r>
      <w:r w:rsidRPr="00086D8D">
        <w:t>characters, Moses. It opens with stories of</w:t>
      </w:r>
      <w:r>
        <w:t xml:space="preserve"> </w:t>
      </w:r>
      <w:r w:rsidRPr="00086D8D">
        <w:t>the world’s formation and closes with the</w:t>
      </w:r>
      <w:r>
        <w:t xml:space="preserve"> </w:t>
      </w:r>
      <w:r w:rsidRPr="00086D8D">
        <w:t>children and grandchildren of freed Hebrew</w:t>
      </w:r>
      <w:r>
        <w:t xml:space="preserve"> </w:t>
      </w:r>
      <w:r w:rsidRPr="00086D8D">
        <w:t>slaves standing on the banks of the</w:t>
      </w:r>
      <w:r>
        <w:t xml:space="preserve"> </w:t>
      </w:r>
      <w:r w:rsidRPr="00086D8D">
        <w:t>Jordan River waiting to enter the Promised</w:t>
      </w:r>
      <w:r>
        <w:t xml:space="preserve"> Land. In </w:t>
      </w:r>
      <w:r w:rsidRPr="00086D8D">
        <w:t>between, stories are told of the</w:t>
      </w:r>
      <w:r>
        <w:t xml:space="preserve"> </w:t>
      </w:r>
      <w:r w:rsidRPr="00086D8D">
        <w:t>faith and disobedience of the ancestors,</w:t>
      </w:r>
      <w:r>
        <w:t xml:space="preserve"> </w:t>
      </w:r>
      <w:r w:rsidRPr="00086D8D">
        <w:t>the escape from Egyptian slavery, the giving</w:t>
      </w:r>
      <w:r>
        <w:t xml:space="preserve"> </w:t>
      </w:r>
      <w:r w:rsidRPr="00086D8D">
        <w:t>of the Ten Commandments on Mount</w:t>
      </w:r>
      <w:r>
        <w:t xml:space="preserve"> </w:t>
      </w:r>
      <w:r w:rsidRPr="00086D8D">
        <w:t>Sinai, forty years of wandering to and fro</w:t>
      </w:r>
      <w:r>
        <w:t xml:space="preserve"> </w:t>
      </w:r>
      <w:r w:rsidRPr="00086D8D">
        <w:t>in the desert, and several significant law</w:t>
      </w:r>
      <w:r>
        <w:t xml:space="preserve"> </w:t>
      </w:r>
      <w:r w:rsidRPr="00086D8D">
        <w:t>codes woven throughout.</w:t>
      </w:r>
      <w:r>
        <w:t xml:space="preserve"> </w:t>
      </w:r>
    </w:p>
    <w:p w:rsidR="00052E02" w:rsidRDefault="00052E02" w:rsidP="00D17303">
      <w:pPr>
        <w:pStyle w:val="A-Text"/>
      </w:pPr>
      <w:r>
        <w:tab/>
      </w:r>
      <w:r w:rsidRPr="00086D8D">
        <w:t>If one reads the stories of the Torah or</w:t>
      </w:r>
      <w:r>
        <w:t xml:space="preserve"> </w:t>
      </w:r>
      <w:r w:rsidRPr="00086D8D">
        <w:t>the Pentateuch according to the chronology</w:t>
      </w:r>
      <w:r>
        <w:t xml:space="preserve"> </w:t>
      </w:r>
      <w:r w:rsidRPr="00086D8D">
        <w:t>laid out in the stories themselves, it becomes</w:t>
      </w:r>
      <w:r>
        <w:t xml:space="preserve"> </w:t>
      </w:r>
      <w:r w:rsidRPr="00086D8D">
        <w:t>apparent that the storytellers</w:t>
      </w:r>
      <w:r>
        <w:t xml:space="preserve"> </w:t>
      </w:r>
      <w:r w:rsidRPr="00086D8D">
        <w:t>wished to emphasize certain parts of the</w:t>
      </w:r>
      <w:r>
        <w:t xml:space="preserve"> </w:t>
      </w:r>
      <w:r w:rsidRPr="00086D8D">
        <w:t>story over others. For example, the first</w:t>
      </w:r>
      <w:r>
        <w:t xml:space="preserve"> </w:t>
      </w:r>
      <w:r w:rsidRPr="00086D8D">
        <w:t>fifty chapters of the Pentateuch, the Book</w:t>
      </w:r>
      <w:r>
        <w:t xml:space="preserve"> </w:t>
      </w:r>
      <w:r w:rsidRPr="00086D8D">
        <w:t>of Genesis, purports to cover about 2,300</w:t>
      </w:r>
      <w:r>
        <w:t xml:space="preserve"> </w:t>
      </w:r>
      <w:r w:rsidRPr="00086D8D">
        <w:t>years according to the narrative’s own</w:t>
      </w:r>
      <w:r>
        <w:t xml:space="preserve"> </w:t>
      </w:r>
      <w:r w:rsidRPr="00086D8D">
        <w:t>internal chronology. We now know, of</w:t>
      </w:r>
      <w:r>
        <w:t xml:space="preserve"> </w:t>
      </w:r>
      <w:r w:rsidRPr="00086D8D">
        <w:t>course, that in actual historical time, such</w:t>
      </w:r>
      <w:r>
        <w:t xml:space="preserve"> </w:t>
      </w:r>
      <w:r w:rsidRPr="00086D8D">
        <w:t>a time frame is much too short, giving us a</w:t>
      </w:r>
      <w:r>
        <w:t xml:space="preserve"> </w:t>
      </w:r>
      <w:r w:rsidRPr="00086D8D">
        <w:t>clue to the writer’s ancient mythic worldview.</w:t>
      </w:r>
      <w:r>
        <w:t xml:space="preserve"> </w:t>
      </w:r>
      <w:r w:rsidRPr="00086D8D">
        <w:t>The next part of the story, which tells</w:t>
      </w:r>
      <w:r>
        <w:t xml:space="preserve"> </w:t>
      </w:r>
      <w:r w:rsidRPr="00086D8D">
        <w:t>of the Exodus from Egypt and the giving of</w:t>
      </w:r>
      <w:r>
        <w:t xml:space="preserve"> </w:t>
      </w:r>
      <w:r w:rsidRPr="00086D8D">
        <w:t>the Law and other events at Sinai, takes</w:t>
      </w:r>
      <w:r>
        <w:t xml:space="preserve"> </w:t>
      </w:r>
      <w:r w:rsidRPr="00086D8D">
        <w:t>eighty-one chapters (Exodus</w:t>
      </w:r>
      <w:r>
        <w:t>;</w:t>
      </w:r>
      <w:r w:rsidRPr="00086D8D">
        <w:t xml:space="preserve"> Leviticus</w:t>
      </w:r>
      <w:r>
        <w:t xml:space="preserve">; </w:t>
      </w:r>
      <w:r w:rsidRPr="00086D8D">
        <w:t>and Numbers</w:t>
      </w:r>
      <w:r>
        <w:t>,</w:t>
      </w:r>
      <w:r w:rsidRPr="00086D8D">
        <w:t xml:space="preserve"> chapters 1 through 14) to</w:t>
      </w:r>
      <w:r>
        <w:t xml:space="preserve"> </w:t>
      </w:r>
      <w:r w:rsidRPr="00086D8D">
        <w:t>tell about events that cover just over one</w:t>
      </w:r>
      <w:r>
        <w:t xml:space="preserve"> </w:t>
      </w:r>
      <w:r w:rsidRPr="00086D8D">
        <w:t>year! The last twenty-two chapters of</w:t>
      </w:r>
      <w:r>
        <w:t xml:space="preserve"> </w:t>
      </w:r>
      <w:r w:rsidRPr="00086D8D">
        <w:t>Numbers cover the forty years of wandering</w:t>
      </w:r>
      <w:r>
        <w:t xml:space="preserve"> </w:t>
      </w:r>
      <w:r w:rsidRPr="00086D8D">
        <w:t>in the wilderness. Finally, the Book of</w:t>
      </w:r>
      <w:r>
        <w:t xml:space="preserve"> </w:t>
      </w:r>
      <w:r w:rsidRPr="00086D8D">
        <w:t>Deuteronomy spends thirty-four chapters</w:t>
      </w:r>
      <w:r>
        <w:t xml:space="preserve"> </w:t>
      </w:r>
      <w:r w:rsidRPr="00086D8D">
        <w:t>recounting the last day or two in Moses’</w:t>
      </w:r>
      <w:r>
        <w:t xml:space="preserve"> </w:t>
      </w:r>
      <w:r w:rsidRPr="00086D8D">
        <w:t>life as he interprets the Law for a new generation</w:t>
      </w:r>
      <w:r>
        <w:t xml:space="preserve"> </w:t>
      </w:r>
      <w:r w:rsidRPr="00086D8D">
        <w:t>on the banks of the Jordan River in</w:t>
      </w:r>
      <w:r>
        <w:t xml:space="preserve"> </w:t>
      </w:r>
      <w:r w:rsidRPr="00086D8D">
        <w:t>what appears to be his last will and testament.</w:t>
      </w:r>
      <w:r>
        <w:t xml:space="preserve"> </w:t>
      </w:r>
      <w:r w:rsidRPr="00086D8D">
        <w:t>Given such a contrived chronological</w:t>
      </w:r>
      <w:r>
        <w:t xml:space="preserve"> </w:t>
      </w:r>
      <w:r w:rsidRPr="00086D8D">
        <w:t>storytelling structure, clearly, for the</w:t>
      </w:r>
      <w:r>
        <w:t xml:space="preserve"> </w:t>
      </w:r>
      <w:r w:rsidRPr="00086D8D">
        <w:t>storytellers of the Pentateuch, the Exodus</w:t>
      </w:r>
      <w:r>
        <w:t xml:space="preserve"> </w:t>
      </w:r>
      <w:r w:rsidRPr="00086D8D">
        <w:t>experience and the giving of the Law at Sinai</w:t>
      </w:r>
      <w:r>
        <w:t xml:space="preserve"> </w:t>
      </w:r>
      <w:r w:rsidRPr="00086D8D">
        <w:t>were critically important. These two</w:t>
      </w:r>
      <w:r>
        <w:t xml:space="preserve"> </w:t>
      </w:r>
      <w:r w:rsidRPr="00086D8D">
        <w:t>experiences provide a lens through which</w:t>
      </w:r>
      <w:r>
        <w:t xml:space="preserve"> </w:t>
      </w:r>
      <w:r w:rsidRPr="00086D8D">
        <w:t>all other experiences before and after were</w:t>
      </w:r>
      <w:r>
        <w:t xml:space="preserve"> </w:t>
      </w:r>
      <w:r w:rsidRPr="00086D8D">
        <w:t>to be understood. In the central themes of</w:t>
      </w:r>
      <w:r>
        <w:t xml:space="preserve"> </w:t>
      </w:r>
      <w:r w:rsidRPr="00086D8D">
        <w:t xml:space="preserve">salvation </w:t>
      </w:r>
      <w:r w:rsidRPr="00086D8D">
        <w:lastRenderedPageBreak/>
        <w:t>and covenant, grace and obligation,</w:t>
      </w:r>
      <w:r>
        <w:t xml:space="preserve"> </w:t>
      </w:r>
      <w:r w:rsidRPr="00086D8D">
        <w:t>gospel and law, freedom and commitment</w:t>
      </w:r>
      <w:r>
        <w:t xml:space="preserve"> </w:t>
      </w:r>
      <w:r w:rsidRPr="00086D8D">
        <w:t>found throughout the Scriptures, one</w:t>
      </w:r>
      <w:r>
        <w:t xml:space="preserve"> </w:t>
      </w:r>
      <w:r w:rsidRPr="00086D8D">
        <w:t>sees traces of the Exodus and Sinai traditions.</w:t>
      </w:r>
      <w:r>
        <w:t xml:space="preserve"> </w:t>
      </w:r>
    </w:p>
    <w:p w:rsidR="00052E02" w:rsidRDefault="00052E02" w:rsidP="00D17303">
      <w:pPr>
        <w:pStyle w:val="A-Text"/>
      </w:pPr>
      <w:r>
        <w:tab/>
      </w:r>
      <w:r w:rsidRPr="00086D8D">
        <w:t>When Moses is called to lead the Hebrew</w:t>
      </w:r>
      <w:r>
        <w:t xml:space="preserve"> </w:t>
      </w:r>
      <w:r w:rsidRPr="00086D8D">
        <w:t>slaves from Egypt, the Lord promises</w:t>
      </w:r>
      <w:r>
        <w:t xml:space="preserve"> </w:t>
      </w:r>
      <w:r w:rsidRPr="00086D8D">
        <w:t>not only to “rescue them from the hands of</w:t>
      </w:r>
      <w:r>
        <w:t xml:space="preserve"> </w:t>
      </w:r>
      <w:r w:rsidRPr="00086D8D">
        <w:t>the Egyptians” but also to “lead them out</w:t>
      </w:r>
      <w:r>
        <w:t xml:space="preserve"> </w:t>
      </w:r>
      <w:r w:rsidRPr="00086D8D">
        <w:t>of that land into a good and spacious land”</w:t>
      </w:r>
      <w:r>
        <w:t xml:space="preserve"> </w:t>
      </w:r>
      <w:r w:rsidRPr="00086D8D">
        <w:t>inhabited by other peoples (Ex</w:t>
      </w:r>
      <w:r>
        <w:t>odus</w:t>
      </w:r>
      <w:r w:rsidRPr="00086D8D">
        <w:t xml:space="preserve"> 3:8). Over</w:t>
      </w:r>
      <w:r>
        <w:t xml:space="preserve"> </w:t>
      </w:r>
      <w:r w:rsidRPr="00086D8D">
        <w:t>one hundred and fifty times in the Pentateuch,</w:t>
      </w:r>
      <w:r>
        <w:t xml:space="preserve"> </w:t>
      </w:r>
      <w:r w:rsidRPr="00086D8D">
        <w:t>the ancestors of Israel are not only</w:t>
      </w:r>
      <w:r>
        <w:t xml:space="preserve"> </w:t>
      </w:r>
      <w:r w:rsidRPr="00086D8D">
        <w:t>promised many descendents, a relationship</w:t>
      </w:r>
      <w:r>
        <w:t xml:space="preserve"> </w:t>
      </w:r>
      <w:r w:rsidRPr="00086D8D">
        <w:t>with God, and that they will be a blessing</w:t>
      </w:r>
      <w:r>
        <w:t xml:space="preserve"> </w:t>
      </w:r>
      <w:r w:rsidRPr="00086D8D">
        <w:t>to the whole world, but they are also</w:t>
      </w:r>
      <w:r>
        <w:t xml:space="preserve"> </w:t>
      </w:r>
      <w:r w:rsidRPr="00086D8D">
        <w:t>promised a new homeland. Genesis 12:1–3</w:t>
      </w:r>
      <w:r>
        <w:t xml:space="preserve"> </w:t>
      </w:r>
      <w:r w:rsidRPr="00086D8D">
        <w:t>provides the most succinct expression of</w:t>
      </w:r>
      <w:r>
        <w:t xml:space="preserve"> </w:t>
      </w:r>
      <w:r w:rsidRPr="00086D8D">
        <w:t>these promises made by the Lord to</w:t>
      </w:r>
      <w:r>
        <w:t xml:space="preserve"> </w:t>
      </w:r>
      <w:r w:rsidRPr="00086D8D">
        <w:t>Abram. As if to underscore these promises,</w:t>
      </w:r>
      <w:r>
        <w:t xml:space="preserve"> </w:t>
      </w:r>
      <w:r w:rsidRPr="00086D8D">
        <w:t>the earliest oral confessions of faith</w:t>
      </w:r>
      <w:r>
        <w:t xml:space="preserve"> </w:t>
      </w:r>
      <w:r w:rsidRPr="00086D8D">
        <w:t>recorded in the Scriptures (e.g., D</w:t>
      </w:r>
      <w:r>
        <w:t>eu</w:t>
      </w:r>
      <w:r w:rsidRPr="00086D8D">
        <w:t>t</w:t>
      </w:r>
      <w:r>
        <w:t xml:space="preserve">eronomy </w:t>
      </w:r>
      <w:r w:rsidRPr="00086D8D">
        <w:t>6:20–24</w:t>
      </w:r>
      <w:r>
        <w:t>,</w:t>
      </w:r>
      <w:r w:rsidRPr="00086D8D">
        <w:t xml:space="preserve"> 26:5–9) also recount the fulfillment</w:t>
      </w:r>
      <w:r>
        <w:t xml:space="preserve"> </w:t>
      </w:r>
      <w:r w:rsidRPr="00086D8D">
        <w:t>of these promises in one form or another,</w:t>
      </w:r>
      <w:r>
        <w:t xml:space="preserve"> </w:t>
      </w:r>
      <w:r w:rsidRPr="00086D8D">
        <w:t>especially, the promise of a new</w:t>
      </w:r>
      <w:r>
        <w:t xml:space="preserve"> </w:t>
      </w:r>
      <w:r w:rsidRPr="00086D8D">
        <w:t>homeland.</w:t>
      </w:r>
      <w:r>
        <w:t xml:space="preserve"> </w:t>
      </w:r>
    </w:p>
    <w:p w:rsidR="00052E02" w:rsidRDefault="00052E02" w:rsidP="00D17303">
      <w:pPr>
        <w:pStyle w:val="A-Text"/>
      </w:pPr>
      <w:r>
        <w:tab/>
      </w:r>
      <w:r w:rsidRPr="00086D8D">
        <w:t>If good stories have good endings, then</w:t>
      </w:r>
      <w:r>
        <w:t xml:space="preserve"> </w:t>
      </w:r>
      <w:r w:rsidRPr="00086D8D">
        <w:t>the Torah or Pentateuch seems to end all</w:t>
      </w:r>
      <w:r>
        <w:t xml:space="preserve"> </w:t>
      </w:r>
      <w:r w:rsidRPr="00086D8D">
        <w:t>too abruptly. Given how many times a</w:t>
      </w:r>
      <w:r>
        <w:t xml:space="preserve"> </w:t>
      </w:r>
      <w:r w:rsidRPr="00086D8D">
        <w:t>homeland was promised throughout the</w:t>
      </w:r>
      <w:r>
        <w:t xml:space="preserve"> </w:t>
      </w:r>
      <w:r w:rsidRPr="00086D8D">
        <w:t>rest of the Pentateuch, one might have expected</w:t>
      </w:r>
      <w:r>
        <w:t xml:space="preserve"> </w:t>
      </w:r>
      <w:r w:rsidRPr="00086D8D">
        <w:t>that a good storyteller would have</w:t>
      </w:r>
      <w:r>
        <w:t xml:space="preserve"> </w:t>
      </w:r>
      <w:r w:rsidRPr="00086D8D">
        <w:t>ended the Torah story with the people having</w:t>
      </w:r>
      <w:r>
        <w:t xml:space="preserve"> </w:t>
      </w:r>
      <w:r w:rsidRPr="00086D8D">
        <w:t>arrived in their new homeland. They</w:t>
      </w:r>
      <w:r>
        <w:t xml:space="preserve"> </w:t>
      </w:r>
      <w:r w:rsidRPr="00086D8D">
        <w:t>certainly had available to them stories of</w:t>
      </w:r>
      <w:r>
        <w:t xml:space="preserve"> </w:t>
      </w:r>
      <w:r w:rsidRPr="00086D8D">
        <w:t>glorious conquest and entrance into the</w:t>
      </w:r>
      <w:r>
        <w:t xml:space="preserve"> </w:t>
      </w:r>
      <w:r w:rsidRPr="00086D8D">
        <w:t>land as told in the Book of Joshua. Indeed,</w:t>
      </w:r>
      <w:r>
        <w:t xml:space="preserve"> </w:t>
      </w:r>
      <w:r w:rsidRPr="00086D8D">
        <w:t>one might have guessed that the Book of</w:t>
      </w:r>
      <w:r>
        <w:t xml:space="preserve"> </w:t>
      </w:r>
      <w:r w:rsidRPr="00086D8D">
        <w:t>Joshua would have been the most natural</w:t>
      </w:r>
      <w:r>
        <w:t xml:space="preserve"> </w:t>
      </w:r>
      <w:r w:rsidRPr="00086D8D">
        <w:t>conclusion to the story as it unfolds in the</w:t>
      </w:r>
      <w:r>
        <w:t xml:space="preserve"> </w:t>
      </w:r>
      <w:r w:rsidRPr="00086D8D">
        <w:t>Pentateuch. Why not a hexateuch (six</w:t>
      </w:r>
      <w:r>
        <w:t xml:space="preserve"> </w:t>
      </w:r>
      <w:r w:rsidRPr="00086D8D">
        <w:t>books), then, instead of a Pentateuch (five</w:t>
      </w:r>
      <w:r>
        <w:t xml:space="preserve"> </w:t>
      </w:r>
      <w:r w:rsidRPr="00086D8D">
        <w:t>books)? Why does the story end as it does</w:t>
      </w:r>
      <w:r>
        <w:t xml:space="preserve"> </w:t>
      </w:r>
      <w:r w:rsidRPr="00086D8D">
        <w:t>with Moses dead and the fate of the ancestors</w:t>
      </w:r>
      <w:r>
        <w:t xml:space="preserve"> </w:t>
      </w:r>
      <w:r w:rsidRPr="00086D8D">
        <w:t>in limbo? Why does the Pentateuch,</w:t>
      </w:r>
      <w:r>
        <w:t xml:space="preserve"> </w:t>
      </w:r>
      <w:r w:rsidRPr="00086D8D">
        <w:t>the heart of the Old Testament, end with a</w:t>
      </w:r>
      <w:r>
        <w:t xml:space="preserve"> </w:t>
      </w:r>
      <w:r w:rsidRPr="00086D8D">
        <w:t>landless people standing on the banks of</w:t>
      </w:r>
      <w:r>
        <w:t xml:space="preserve"> </w:t>
      </w:r>
      <w:r w:rsidRPr="00086D8D">
        <w:t>the Jordan River looking longingly across</w:t>
      </w:r>
      <w:r>
        <w:t xml:space="preserve"> </w:t>
      </w:r>
      <w:r w:rsidRPr="00086D8D">
        <w:t>to the Promised Land? Why, then, does the</w:t>
      </w:r>
      <w:r>
        <w:t xml:space="preserve"> </w:t>
      </w:r>
      <w:r w:rsidRPr="00086D8D">
        <w:t>Pentateuch seem to end so badly? It’s as if,</w:t>
      </w:r>
      <w:r>
        <w:t xml:space="preserve"> </w:t>
      </w:r>
      <w:r w:rsidRPr="00086D8D">
        <w:t>in terms of the stories of Jesus in the New</w:t>
      </w:r>
      <w:r>
        <w:t xml:space="preserve"> </w:t>
      </w:r>
      <w:r w:rsidRPr="00086D8D">
        <w:t>Testament, the Gospel writers would have</w:t>
      </w:r>
      <w:r>
        <w:t xml:space="preserve"> </w:t>
      </w:r>
      <w:r w:rsidRPr="00086D8D">
        <w:t>told of Jesus’ birth, life, teachings, and</w:t>
      </w:r>
      <w:r>
        <w:t xml:space="preserve"> D</w:t>
      </w:r>
      <w:r w:rsidRPr="00086D8D">
        <w:t>eath, but left out the most important</w:t>
      </w:r>
      <w:r>
        <w:t xml:space="preserve"> </w:t>
      </w:r>
      <w:r w:rsidRPr="00086D8D">
        <w:t>part—his Resurrection! The ending of the</w:t>
      </w:r>
      <w:r>
        <w:t xml:space="preserve"> </w:t>
      </w:r>
      <w:r w:rsidRPr="00086D8D">
        <w:t>Pentateuch, then, comes as a near total</w:t>
      </w:r>
      <w:r>
        <w:t xml:space="preserve"> </w:t>
      </w:r>
      <w:r w:rsidRPr="00086D8D">
        <w:t>surprise.</w:t>
      </w:r>
      <w:r>
        <w:t xml:space="preserve"> </w:t>
      </w:r>
    </w:p>
    <w:p w:rsidR="00052E02" w:rsidRDefault="00052E02" w:rsidP="00D17303">
      <w:pPr>
        <w:pStyle w:val="A-Text"/>
      </w:pPr>
      <w:r>
        <w:tab/>
      </w:r>
      <w:r w:rsidRPr="00086D8D">
        <w:t>Something must have happened in the</w:t>
      </w:r>
      <w:r>
        <w:t xml:space="preserve"> </w:t>
      </w:r>
      <w:r w:rsidRPr="00086D8D">
        <w:t>intervening years between the first telling</w:t>
      </w:r>
      <w:r>
        <w:t xml:space="preserve"> </w:t>
      </w:r>
      <w:r w:rsidRPr="00086D8D">
        <w:t>of these old, old stories about the promises</w:t>
      </w:r>
      <w:r>
        <w:t xml:space="preserve"> </w:t>
      </w:r>
      <w:r w:rsidRPr="00086D8D">
        <w:t>God made to the ancestors and the final</w:t>
      </w:r>
      <w:r>
        <w:t xml:space="preserve"> </w:t>
      </w:r>
      <w:r w:rsidRPr="00086D8D">
        <w:t>version of their telling in the Pentateuch</w:t>
      </w:r>
      <w:r>
        <w:t xml:space="preserve"> </w:t>
      </w:r>
      <w:r w:rsidRPr="00086D8D">
        <w:t>that deliberately leaves out the fulfillment</w:t>
      </w:r>
      <w:r>
        <w:t xml:space="preserve"> </w:t>
      </w:r>
      <w:r w:rsidRPr="00086D8D">
        <w:t>of those promises, especially the promise</w:t>
      </w:r>
      <w:r>
        <w:t xml:space="preserve"> </w:t>
      </w:r>
      <w:r w:rsidRPr="00086D8D">
        <w:t>of land, as told in the Book of Joshua. Indeed,</w:t>
      </w:r>
      <w:r>
        <w:t xml:space="preserve"> </w:t>
      </w:r>
      <w:r w:rsidRPr="00086D8D">
        <w:t>something huge did happen many</w:t>
      </w:r>
      <w:r>
        <w:t xml:space="preserve"> </w:t>
      </w:r>
      <w:r w:rsidRPr="00086D8D">
        <w:t>years later, which provides the best explanation</w:t>
      </w:r>
      <w:r>
        <w:t xml:space="preserve"> </w:t>
      </w:r>
      <w:r w:rsidRPr="00086D8D">
        <w:t>for why the Pentateuch ends the</w:t>
      </w:r>
      <w:r>
        <w:t xml:space="preserve"> </w:t>
      </w:r>
      <w:r w:rsidRPr="00086D8D">
        <w:t>way it does and suggests a relative time</w:t>
      </w:r>
      <w:r>
        <w:t xml:space="preserve"> </w:t>
      </w:r>
      <w:r w:rsidRPr="00086D8D">
        <w:t>frame for dating when the Pentateuch was</w:t>
      </w:r>
      <w:r>
        <w:t xml:space="preserve"> </w:t>
      </w:r>
      <w:r w:rsidRPr="00086D8D">
        <w:t>finally compiled.</w:t>
      </w:r>
      <w:r>
        <w:t xml:space="preserve"> </w:t>
      </w:r>
    </w:p>
    <w:p w:rsidR="00052E02" w:rsidRDefault="00052E02" w:rsidP="002E5E2A">
      <w:pPr>
        <w:pStyle w:val="A-CH"/>
        <w:spacing w:before="360" w:after="120"/>
        <w:rPr>
          <w:rFonts w:cs="Times New Roman"/>
        </w:rPr>
      </w:pPr>
      <w:r w:rsidRPr="00086D8D">
        <w:t>The Exile Factor</w:t>
      </w:r>
    </w:p>
    <w:p w:rsidR="00052E02" w:rsidRDefault="00052E02" w:rsidP="002925A0">
      <w:pPr>
        <w:pStyle w:val="A-Text"/>
      </w:pPr>
      <w:r w:rsidRPr="00086D8D">
        <w:t>We now know that the Hebrew Bible,</w:t>
      </w:r>
      <w:r>
        <w:t xml:space="preserve"> </w:t>
      </w:r>
      <w:r w:rsidRPr="00086D8D">
        <w:t>after a long process of gathering and</w:t>
      </w:r>
      <w:r>
        <w:t xml:space="preserve"> </w:t>
      </w:r>
      <w:r w:rsidRPr="00086D8D">
        <w:t>editing oral and written sources, began to</w:t>
      </w:r>
      <w:r>
        <w:t xml:space="preserve"> </w:t>
      </w:r>
      <w:r w:rsidRPr="00086D8D">
        <w:t>emerge in its final form during and soon after</w:t>
      </w:r>
      <w:r>
        <w:t xml:space="preserve"> </w:t>
      </w:r>
      <w:r w:rsidRPr="00086D8D">
        <w:t>the People of God once again found</w:t>
      </w:r>
      <w:r>
        <w:t xml:space="preserve"> </w:t>
      </w:r>
      <w:r w:rsidRPr="00086D8D">
        <w:t>themselves as refugees in the Babylonian</w:t>
      </w:r>
      <w:r>
        <w:t xml:space="preserve"> Exile (587–538 BC</w:t>
      </w:r>
      <w:r w:rsidRPr="00086D8D">
        <w:t>). Their great Temple,</w:t>
      </w:r>
      <w:r>
        <w:t xml:space="preserve"> </w:t>
      </w:r>
      <w:r w:rsidRPr="00086D8D">
        <w:t>their land, their kingdom, indeed, everything</w:t>
      </w:r>
      <w:r>
        <w:t xml:space="preserve"> </w:t>
      </w:r>
      <w:r w:rsidRPr="00086D8D">
        <w:t>that had given them a sense of identity</w:t>
      </w:r>
      <w:r>
        <w:t xml:space="preserve"> </w:t>
      </w:r>
      <w:r w:rsidRPr="00086D8D">
        <w:t>and destiny for some six hundred</w:t>
      </w:r>
      <w:r>
        <w:t xml:space="preserve"> </w:t>
      </w:r>
      <w:r w:rsidRPr="00086D8D">
        <w:t>years, was all gone. If you imagine these</w:t>
      </w:r>
      <w:r>
        <w:t xml:space="preserve"> </w:t>
      </w:r>
      <w:r w:rsidRPr="00086D8D">
        <w:t>refugees standing now on the banks of the</w:t>
      </w:r>
      <w:r>
        <w:t xml:space="preserve"> </w:t>
      </w:r>
      <w:r w:rsidRPr="00086D8D">
        <w:t>Tigris and Euphrates Rivers in Babylon</w:t>
      </w:r>
      <w:r>
        <w:t xml:space="preserve"> </w:t>
      </w:r>
      <w:r w:rsidRPr="00086D8D">
        <w:t>(modern-day Iraq), looking longingly eastward</w:t>
      </w:r>
      <w:r>
        <w:t xml:space="preserve"> </w:t>
      </w:r>
      <w:r w:rsidRPr="00086D8D">
        <w:t>toward their homeland back over the</w:t>
      </w:r>
      <w:r>
        <w:t xml:space="preserve"> </w:t>
      </w:r>
      <w:r w:rsidRPr="00086D8D">
        <w:t>Jordan River, the Torah story ending</w:t>
      </w:r>
      <w:r>
        <w:t xml:space="preserve"> </w:t>
      </w:r>
      <w:r w:rsidRPr="00086D8D">
        <w:t>where it ends must have sounded like</w:t>
      </w:r>
      <w:r>
        <w:t xml:space="preserve"> </w:t>
      </w:r>
      <w:r w:rsidRPr="00086D8D">
        <w:t>good news, wonderful news, of the possibility</w:t>
      </w:r>
      <w:r>
        <w:t xml:space="preserve"> </w:t>
      </w:r>
      <w:r w:rsidRPr="00086D8D">
        <w:t>of an imminent homecoming. The</w:t>
      </w:r>
      <w:r>
        <w:t xml:space="preserve"> </w:t>
      </w:r>
      <w:r w:rsidRPr="00086D8D">
        <w:t>Jordan River could well have been the Tigris</w:t>
      </w:r>
      <w:r>
        <w:t xml:space="preserve"> </w:t>
      </w:r>
      <w:r w:rsidRPr="00086D8D">
        <w:t>and Euphrates Rivers of Babylon. The</w:t>
      </w:r>
      <w:r>
        <w:t xml:space="preserve"> </w:t>
      </w:r>
      <w:r w:rsidRPr="00086D8D">
        <w:t>hills of Moab overlooking the Promised</w:t>
      </w:r>
      <w:r>
        <w:t xml:space="preserve"> </w:t>
      </w:r>
      <w:r w:rsidRPr="00086D8D">
        <w:t>Land, where Moses and the people spend</w:t>
      </w:r>
      <w:r>
        <w:t xml:space="preserve"> </w:t>
      </w:r>
      <w:r w:rsidRPr="00086D8D">
        <w:t>their last days together as described at the</w:t>
      </w:r>
      <w:r>
        <w:t xml:space="preserve"> </w:t>
      </w:r>
      <w:r w:rsidRPr="00086D8D">
        <w:t>end of the Pentateuch, could well have</w:t>
      </w:r>
      <w:r>
        <w:t xml:space="preserve"> </w:t>
      </w:r>
      <w:r w:rsidRPr="00086D8D">
        <w:t>been the fertile crescent of Babylon where</w:t>
      </w:r>
      <w:r>
        <w:t xml:space="preserve"> </w:t>
      </w:r>
      <w:r w:rsidRPr="00086D8D">
        <w:t>the people find themselves now hearing</w:t>
      </w:r>
      <w:r>
        <w:t xml:space="preserve"> </w:t>
      </w:r>
      <w:r w:rsidRPr="00086D8D">
        <w:t>the Pentateuch story in its final form.</w:t>
      </w:r>
      <w:r>
        <w:t xml:space="preserve"> </w:t>
      </w:r>
    </w:p>
    <w:p w:rsidR="00052E02" w:rsidRDefault="00052E02" w:rsidP="002925A0">
      <w:pPr>
        <w:pStyle w:val="A-Text"/>
      </w:pPr>
      <w:r>
        <w:tab/>
      </w:r>
      <w:r w:rsidRPr="00086D8D">
        <w:t>The emotions of those who heard the</w:t>
      </w:r>
      <w:r>
        <w:t xml:space="preserve"> </w:t>
      </w:r>
      <w:r w:rsidRPr="00086D8D">
        <w:t>Pentateuch read aloud for the first time, either</w:t>
      </w:r>
      <w:r>
        <w:t xml:space="preserve"> </w:t>
      </w:r>
      <w:r w:rsidRPr="00086D8D">
        <w:t>in the Babylonian captivity or soon</w:t>
      </w:r>
      <w:r>
        <w:t xml:space="preserve"> </w:t>
      </w:r>
      <w:r w:rsidRPr="00086D8D">
        <w:t>thereafter, are captured in the story of</w:t>
      </w:r>
      <w:r>
        <w:t xml:space="preserve"> </w:t>
      </w:r>
      <w:r w:rsidRPr="00086D8D">
        <w:t xml:space="preserve">Ezra, the great scribe. In the Book of </w:t>
      </w:r>
      <w:r w:rsidRPr="00086D8D">
        <w:lastRenderedPageBreak/>
        <w:t>Nehemiah</w:t>
      </w:r>
      <w:r>
        <w:t xml:space="preserve"> </w:t>
      </w:r>
      <w:r w:rsidRPr="00086D8D">
        <w:t>(8:1, 9–12), Ezra reads “the book</w:t>
      </w:r>
      <w:r>
        <w:t xml:space="preserve"> </w:t>
      </w:r>
      <w:r w:rsidRPr="00086D8D">
        <w:t>of the law (or Torah) of Moses” to the returning</w:t>
      </w:r>
      <w:r>
        <w:t xml:space="preserve"> </w:t>
      </w:r>
      <w:r w:rsidRPr="00086D8D">
        <w:t>refugees in the square of the Water</w:t>
      </w:r>
      <w:r>
        <w:t xml:space="preserve"> </w:t>
      </w:r>
      <w:r w:rsidRPr="00086D8D">
        <w:t>Gate in Jerusalem. The people all stand</w:t>
      </w:r>
      <w:r>
        <w:t xml:space="preserve"> </w:t>
      </w:r>
      <w:r w:rsidRPr="00086D8D">
        <w:t>up in reverence throughout the reading,</w:t>
      </w:r>
      <w:r>
        <w:t xml:space="preserve"> </w:t>
      </w:r>
      <w:r w:rsidRPr="00086D8D">
        <w:t>which took all morning. When the people</w:t>
      </w:r>
      <w:r>
        <w:t xml:space="preserve"> </w:t>
      </w:r>
      <w:r w:rsidRPr="00086D8D">
        <w:t>hear the words of the Law (Torah) read,</w:t>
      </w:r>
      <w:r>
        <w:t xml:space="preserve"> </w:t>
      </w:r>
      <w:r w:rsidRPr="00086D8D">
        <w:t>they weep (8:9). Soon after the reading and</w:t>
      </w:r>
      <w:r>
        <w:t xml:space="preserve"> </w:t>
      </w:r>
      <w:r w:rsidRPr="00086D8D">
        <w:t>with a little encouragement from Ezra,</w:t>
      </w:r>
      <w:r>
        <w:t xml:space="preserve"> </w:t>
      </w:r>
      <w:r w:rsidRPr="00086D8D">
        <w:t>their weeping turns to great rejoicing. If</w:t>
      </w:r>
      <w:r>
        <w:t xml:space="preserve"> </w:t>
      </w:r>
      <w:r w:rsidRPr="00086D8D">
        <w:t>only reading the Torah or Pentateuch still</w:t>
      </w:r>
      <w:r>
        <w:t xml:space="preserve"> </w:t>
      </w:r>
      <w:r w:rsidRPr="00086D8D">
        <w:t>evoked such awe and depth of emotion.</w:t>
      </w:r>
      <w:r>
        <w:t xml:space="preserve"> </w:t>
      </w:r>
    </w:p>
    <w:p w:rsidR="00052E02" w:rsidRDefault="00052E02" w:rsidP="002925A0">
      <w:pPr>
        <w:pStyle w:val="A-Text"/>
      </w:pPr>
      <w:r>
        <w:tab/>
      </w:r>
      <w:r w:rsidRPr="00086D8D">
        <w:t>All readers, in some sense, must enter</w:t>
      </w:r>
      <w:r>
        <w:t xml:space="preserve"> </w:t>
      </w:r>
      <w:r w:rsidRPr="00086D8D">
        <w:t>the story of the Pentateuch, first and foremost,</w:t>
      </w:r>
      <w:r>
        <w:t xml:space="preserve"> </w:t>
      </w:r>
      <w:r w:rsidRPr="00086D8D">
        <w:t>from the perspective of those first</w:t>
      </w:r>
      <w:r>
        <w:t xml:space="preserve"> </w:t>
      </w:r>
      <w:r w:rsidRPr="00086D8D">
        <w:t>hearers and readers. All readers now read</w:t>
      </w:r>
      <w:r>
        <w:t xml:space="preserve"> </w:t>
      </w:r>
      <w:r w:rsidRPr="00086D8D">
        <w:t>it, as it were, backward from Exile. Now, as</w:t>
      </w:r>
      <w:r>
        <w:t xml:space="preserve"> </w:t>
      </w:r>
      <w:r w:rsidRPr="00086D8D">
        <w:t>it was heard by the refugees in Babylon, all</w:t>
      </w:r>
      <w:r>
        <w:t xml:space="preserve"> </w:t>
      </w:r>
      <w:r w:rsidRPr="00086D8D">
        <w:t>the stories and characters of the Torah or</w:t>
      </w:r>
      <w:r>
        <w:t xml:space="preserve"> </w:t>
      </w:r>
      <w:r w:rsidRPr="00086D8D">
        <w:t>Pentateuch become larger than life, bigger</w:t>
      </w:r>
      <w:r>
        <w:t xml:space="preserve"> </w:t>
      </w:r>
      <w:r w:rsidRPr="00086D8D">
        <w:t>than history, archetypal in force. In the</w:t>
      </w:r>
      <w:r>
        <w:t xml:space="preserve"> </w:t>
      </w:r>
      <w:r w:rsidRPr="00086D8D">
        <w:t>Pentateuch the characters and events are</w:t>
      </w:r>
      <w:r>
        <w:t xml:space="preserve"> </w:t>
      </w:r>
      <w:r w:rsidRPr="00086D8D">
        <w:t>more than historical. They have become</w:t>
      </w:r>
      <w:r>
        <w:t xml:space="preserve"> </w:t>
      </w:r>
      <w:r w:rsidRPr="00086D8D">
        <w:t>mythic in revelatory power.</w:t>
      </w:r>
      <w:r>
        <w:t xml:space="preserve"> </w:t>
      </w:r>
    </w:p>
    <w:p w:rsidR="00052E02" w:rsidRDefault="00052E02" w:rsidP="002925A0">
      <w:pPr>
        <w:pStyle w:val="A-Text"/>
      </w:pPr>
      <w:r>
        <w:tab/>
      </w:r>
      <w:r w:rsidRPr="00086D8D">
        <w:t>Now, the fact that the Pentateuch opens</w:t>
      </w:r>
      <w:r>
        <w:t xml:space="preserve"> </w:t>
      </w:r>
      <w:r w:rsidRPr="00086D8D">
        <w:t>in the Garden of Eden located in Babylon</w:t>
      </w:r>
      <w:r>
        <w:t xml:space="preserve"> </w:t>
      </w:r>
      <w:r w:rsidRPr="00086D8D">
        <w:t>between the waters of the Tigris and Euphrates</w:t>
      </w:r>
      <w:r>
        <w:t xml:space="preserve"> </w:t>
      </w:r>
      <w:r w:rsidRPr="00086D8D">
        <w:t>Rivers matters. The first humans</w:t>
      </w:r>
      <w:r>
        <w:t xml:space="preserve"> </w:t>
      </w:r>
      <w:r w:rsidRPr="00086D8D">
        <w:t>in the opening chapters of the Book of</w:t>
      </w:r>
      <w:r>
        <w:t xml:space="preserve"> </w:t>
      </w:r>
      <w:r w:rsidRPr="00086D8D">
        <w:t>Genesis are invited to make choices of life</w:t>
      </w:r>
      <w:r>
        <w:t>-</w:t>
      </w:r>
      <w:r w:rsidRPr="00086D8D">
        <w:t>altering</w:t>
      </w:r>
      <w:r>
        <w:t xml:space="preserve"> </w:t>
      </w:r>
      <w:r w:rsidRPr="00086D8D">
        <w:t>consequence just as the people</w:t>
      </w:r>
      <w:r>
        <w:t xml:space="preserve"> </w:t>
      </w:r>
      <w:r w:rsidRPr="00086D8D">
        <w:t>gathered around Moses at the end of the</w:t>
      </w:r>
      <w:r>
        <w:t xml:space="preserve"> </w:t>
      </w:r>
      <w:r w:rsidRPr="00086D8D">
        <w:t>Book of Deuteronomy face choices for</w:t>
      </w:r>
      <w:r>
        <w:t xml:space="preserve"> </w:t>
      </w:r>
      <w:r w:rsidRPr="00086D8D">
        <w:t>blessing or cursing, for life or death. Reading</w:t>
      </w:r>
      <w:r>
        <w:t xml:space="preserve"> </w:t>
      </w:r>
      <w:r w:rsidRPr="00086D8D">
        <w:t>such stories from the perspective of</w:t>
      </w:r>
      <w:r>
        <w:t xml:space="preserve"> </w:t>
      </w:r>
      <w:r w:rsidRPr="00086D8D">
        <w:t>the Babylonian Exile or any existential exile,</w:t>
      </w:r>
      <w:r>
        <w:t xml:space="preserve"> </w:t>
      </w:r>
      <w:r w:rsidRPr="00086D8D">
        <w:t>for that matter, becomes a new invitation</w:t>
      </w:r>
      <w:r>
        <w:t xml:space="preserve"> </w:t>
      </w:r>
      <w:r w:rsidRPr="00086D8D">
        <w:t>to appreciate how one’s destiny is</w:t>
      </w:r>
      <w:r>
        <w:t xml:space="preserve"> </w:t>
      </w:r>
      <w:r w:rsidRPr="00086D8D">
        <w:t>shaped by one’s choices. Adam and Eve</w:t>
      </w:r>
      <w:r>
        <w:t xml:space="preserve"> </w:t>
      </w:r>
      <w:r w:rsidRPr="00086D8D">
        <w:t>were exiled from Eden having made wrong</w:t>
      </w:r>
      <w:r>
        <w:t xml:space="preserve"> </w:t>
      </w:r>
      <w:r w:rsidRPr="00086D8D">
        <w:t>choices.</w:t>
      </w:r>
      <w:r>
        <w:t xml:space="preserve"> </w:t>
      </w:r>
    </w:p>
    <w:p w:rsidR="00052E02" w:rsidRDefault="00052E02" w:rsidP="002925A0">
      <w:pPr>
        <w:pStyle w:val="A-Text"/>
      </w:pPr>
      <w:r>
        <w:tab/>
      </w:r>
      <w:r w:rsidRPr="00086D8D">
        <w:t>Indeed, the stories in the second part of</w:t>
      </w:r>
      <w:r>
        <w:t xml:space="preserve"> </w:t>
      </w:r>
      <w:r w:rsidRPr="00086D8D">
        <w:t>the Hebrew Bible, the Former Prophets</w:t>
      </w:r>
      <w:r>
        <w:t xml:space="preserve"> </w:t>
      </w:r>
      <w:r w:rsidRPr="00086D8D">
        <w:t>(Joshua through 2 Kings) recount the</w:t>
      </w:r>
      <w:r>
        <w:t xml:space="preserve"> </w:t>
      </w:r>
      <w:r w:rsidRPr="00086D8D">
        <w:t>choices of consequence that were made by</w:t>
      </w:r>
      <w:r>
        <w:t xml:space="preserve"> </w:t>
      </w:r>
      <w:r w:rsidRPr="00086D8D">
        <w:t>all those who first entered the Promised</w:t>
      </w:r>
      <w:r>
        <w:t xml:space="preserve"> </w:t>
      </w:r>
      <w:r w:rsidRPr="00086D8D">
        <w:t>Land from the banks of the Jordan River.</w:t>
      </w:r>
      <w:r>
        <w:t xml:space="preserve"> </w:t>
      </w:r>
      <w:r w:rsidRPr="00086D8D">
        <w:t>Those choices eventually led them once</w:t>
      </w:r>
      <w:r>
        <w:t xml:space="preserve"> </w:t>
      </w:r>
      <w:r w:rsidRPr="00086D8D">
        <w:t>again out of the Promised Land into Exile,</w:t>
      </w:r>
      <w:r>
        <w:t xml:space="preserve"> </w:t>
      </w:r>
      <w:r w:rsidRPr="00086D8D">
        <w:t>first to Assyria, then to Babylon. Ironically,</w:t>
      </w:r>
      <w:r>
        <w:t xml:space="preserve"> </w:t>
      </w:r>
      <w:r w:rsidRPr="00086D8D">
        <w:t>the Book of Joshua, which would seemingly</w:t>
      </w:r>
      <w:r>
        <w:t xml:space="preserve"> </w:t>
      </w:r>
      <w:r w:rsidRPr="00086D8D">
        <w:t>have fit best as the climax of the Pentateuch,</w:t>
      </w:r>
      <w:r>
        <w:t xml:space="preserve"> </w:t>
      </w:r>
      <w:r w:rsidRPr="00086D8D">
        <w:t>has now been placed, instead, as the</w:t>
      </w:r>
      <w:r>
        <w:t xml:space="preserve"> </w:t>
      </w:r>
      <w:r w:rsidRPr="00086D8D">
        <w:t>introduction to a negative history of choices</w:t>
      </w:r>
      <w:r>
        <w:t xml:space="preserve"> </w:t>
      </w:r>
      <w:r w:rsidRPr="00086D8D">
        <w:t>gone wrong that lead to Exile. The</w:t>
      </w:r>
      <w:r>
        <w:t xml:space="preserve"> </w:t>
      </w:r>
      <w:r w:rsidRPr="00086D8D">
        <w:t>beginning and ending of the Pentateuch are</w:t>
      </w:r>
      <w:r>
        <w:t xml:space="preserve"> </w:t>
      </w:r>
      <w:r w:rsidRPr="00086D8D">
        <w:t>bookends of choice and its consequence.</w:t>
      </w:r>
      <w:r>
        <w:t xml:space="preserve"> </w:t>
      </w:r>
    </w:p>
    <w:p w:rsidR="00052E02" w:rsidRDefault="00052E02" w:rsidP="002925A0">
      <w:pPr>
        <w:pStyle w:val="A-Text"/>
      </w:pPr>
      <w:r>
        <w:tab/>
      </w:r>
      <w:r w:rsidRPr="00086D8D">
        <w:t>The primeval stories that tell of Adam,</w:t>
      </w:r>
      <w:r>
        <w:t xml:space="preserve"> </w:t>
      </w:r>
      <w:r w:rsidRPr="00086D8D">
        <w:t xml:space="preserve">Eve, the serpent, the </w:t>
      </w:r>
      <w:r>
        <w:t>G</w:t>
      </w:r>
      <w:r w:rsidRPr="00086D8D">
        <w:t xml:space="preserve">reat </w:t>
      </w:r>
      <w:r>
        <w:t>F</w:t>
      </w:r>
      <w:r w:rsidRPr="00086D8D">
        <w:t>lood, and the</w:t>
      </w:r>
      <w:r>
        <w:t xml:space="preserve"> </w:t>
      </w:r>
      <w:r w:rsidRPr="00086D8D">
        <w:t>Tower of Babel in Genesis</w:t>
      </w:r>
      <w:r>
        <w:t>,</w:t>
      </w:r>
      <w:r w:rsidRPr="00086D8D">
        <w:t xml:space="preserve"> chapters 1</w:t>
      </w:r>
      <w:r>
        <w:t xml:space="preserve"> </w:t>
      </w:r>
      <w:r w:rsidRPr="00086D8D">
        <w:t>through 11</w:t>
      </w:r>
      <w:r>
        <w:t>,</w:t>
      </w:r>
      <w:r w:rsidRPr="00086D8D">
        <w:t xml:space="preserve"> are more than origin stories</w:t>
      </w:r>
      <w:r>
        <w:t xml:space="preserve"> </w:t>
      </w:r>
      <w:r w:rsidRPr="00086D8D">
        <w:t>per se. When read together, as a whole,</w:t>
      </w:r>
      <w:r>
        <w:t xml:space="preserve"> </w:t>
      </w:r>
      <w:r w:rsidRPr="00086D8D">
        <w:t>these stories might legitimately be called a</w:t>
      </w:r>
      <w:r>
        <w:t xml:space="preserve"> </w:t>
      </w:r>
      <w:r w:rsidRPr="00086D8D">
        <w:t>theopolitical manifesto composed by a people</w:t>
      </w:r>
      <w:r>
        <w:t xml:space="preserve"> </w:t>
      </w:r>
      <w:r w:rsidRPr="00086D8D">
        <w:t>living as subjects beneath the coercive</w:t>
      </w:r>
      <w:r>
        <w:t xml:space="preserve"> </w:t>
      </w:r>
      <w:r w:rsidRPr="00086D8D">
        <w:t>power of Babylon. Each biblical story</w:t>
      </w:r>
      <w:r>
        <w:t xml:space="preserve"> </w:t>
      </w:r>
      <w:r w:rsidRPr="00086D8D">
        <w:t>seems to have near parallels to Babylonian</w:t>
      </w:r>
      <w:r>
        <w:t xml:space="preserve"> </w:t>
      </w:r>
      <w:r w:rsidRPr="00086D8D">
        <w:t>origin stories only now retold so as to be</w:t>
      </w:r>
      <w:r>
        <w:t xml:space="preserve"> </w:t>
      </w:r>
      <w:r w:rsidRPr="00086D8D">
        <w:t>critical of the domination system of the</w:t>
      </w:r>
      <w:r>
        <w:t xml:space="preserve"> </w:t>
      </w:r>
      <w:r w:rsidRPr="00086D8D">
        <w:t>Babylonian city-state. Later, in the Book of</w:t>
      </w:r>
      <w:r>
        <w:t xml:space="preserve"> </w:t>
      </w:r>
      <w:r w:rsidRPr="00086D8D">
        <w:t>Exodus, the stories of the Lord defeating</w:t>
      </w:r>
      <w:r>
        <w:t xml:space="preserve"> </w:t>
      </w:r>
      <w:r w:rsidRPr="00086D8D">
        <w:t>the empire of an unnamed pharaoh allows</w:t>
      </w:r>
      <w:r>
        <w:t xml:space="preserve"> </w:t>
      </w:r>
      <w:r w:rsidRPr="00086D8D">
        <w:t>for mythic comparison to any empire that</w:t>
      </w:r>
      <w:r>
        <w:t xml:space="preserve"> </w:t>
      </w:r>
      <w:r w:rsidRPr="00086D8D">
        <w:t>tries to subjugate God’s People. Clearly,</w:t>
      </w:r>
      <w:r>
        <w:t xml:space="preserve"> </w:t>
      </w:r>
      <w:r w:rsidRPr="00086D8D">
        <w:t>from the perspective of the Pentateuch,</w:t>
      </w:r>
      <w:r>
        <w:t xml:space="preserve"> </w:t>
      </w:r>
      <w:r w:rsidRPr="00086D8D">
        <w:t>bondage in Babylon need not be any more</w:t>
      </w:r>
      <w:r>
        <w:t xml:space="preserve"> </w:t>
      </w:r>
      <w:r w:rsidRPr="00086D8D">
        <w:t>permanent than bondage in Egypt had</w:t>
      </w:r>
      <w:r>
        <w:t xml:space="preserve"> </w:t>
      </w:r>
      <w:r w:rsidRPr="00086D8D">
        <w:t>been. The extended story of Joseph living</w:t>
      </w:r>
      <w:r>
        <w:t xml:space="preserve"> </w:t>
      </w:r>
      <w:r w:rsidRPr="00086D8D">
        <w:t>in exile in Egypt, not only serves as a paradigm</w:t>
      </w:r>
      <w:r>
        <w:t xml:space="preserve"> </w:t>
      </w:r>
      <w:r w:rsidRPr="00086D8D">
        <w:t>for how a person of minority status</w:t>
      </w:r>
      <w:r>
        <w:t xml:space="preserve"> </w:t>
      </w:r>
      <w:r w:rsidRPr="00086D8D">
        <w:t>might manage to become a “light to the nations”</w:t>
      </w:r>
      <w:r>
        <w:t xml:space="preserve"> </w:t>
      </w:r>
      <w:r w:rsidRPr="00086D8D">
        <w:t>but also how the people might benefit</w:t>
      </w:r>
      <w:r>
        <w:t xml:space="preserve"> </w:t>
      </w:r>
      <w:r w:rsidRPr="00086D8D">
        <w:t>from a Nehemiah-like leader who later</w:t>
      </w:r>
      <w:r>
        <w:t xml:space="preserve"> </w:t>
      </w:r>
      <w:r w:rsidRPr="00086D8D">
        <w:t>becomes influential in Persian empire politics.</w:t>
      </w:r>
      <w:r>
        <w:t xml:space="preserve"> </w:t>
      </w:r>
      <w:r w:rsidRPr="00086D8D">
        <w:t>The Pentateuch, throughout, has a</w:t>
      </w:r>
      <w:r>
        <w:t xml:space="preserve"> </w:t>
      </w:r>
      <w:r w:rsidRPr="00086D8D">
        <w:t>strong bias against empire politics, while at</w:t>
      </w:r>
      <w:r>
        <w:t xml:space="preserve"> </w:t>
      </w:r>
      <w:r w:rsidRPr="00086D8D">
        <w:t>the same time offering pragmatic illustrative</w:t>
      </w:r>
      <w:r>
        <w:t xml:space="preserve"> </w:t>
      </w:r>
      <w:r w:rsidRPr="00086D8D">
        <w:t>stories for how a minority people living</w:t>
      </w:r>
      <w:r>
        <w:t xml:space="preserve"> </w:t>
      </w:r>
      <w:r w:rsidRPr="00086D8D">
        <w:t>under the control of empire might survive</w:t>
      </w:r>
      <w:r>
        <w:t xml:space="preserve"> </w:t>
      </w:r>
      <w:r w:rsidRPr="00086D8D">
        <w:t>until their promised liberation. The</w:t>
      </w:r>
      <w:r>
        <w:t xml:space="preserve"> </w:t>
      </w:r>
      <w:r w:rsidRPr="00086D8D">
        <w:t>Pentateuch, as such, might be considered</w:t>
      </w:r>
      <w:r>
        <w:t xml:space="preserve"> </w:t>
      </w:r>
      <w:r w:rsidRPr="00086D8D">
        <w:t>subversive literature on par with the</w:t>
      </w:r>
      <w:r>
        <w:t xml:space="preserve"> </w:t>
      </w:r>
      <w:r w:rsidRPr="00086D8D">
        <w:t>underground literature of dissident playwrights.</w:t>
      </w:r>
      <w:r>
        <w:t xml:space="preserve"> </w:t>
      </w:r>
    </w:p>
    <w:p w:rsidR="00052E02" w:rsidRDefault="00052E02" w:rsidP="002925A0">
      <w:pPr>
        <w:pStyle w:val="A-Text"/>
      </w:pPr>
      <w:r>
        <w:tab/>
      </w:r>
      <w:r w:rsidRPr="00086D8D">
        <w:t>The stories of Adam and Eve suffering</w:t>
      </w:r>
      <w:r>
        <w:t xml:space="preserve"> </w:t>
      </w:r>
      <w:r w:rsidRPr="00086D8D">
        <w:t>only exile from Eden and not immediate</w:t>
      </w:r>
      <w:r>
        <w:t xml:space="preserve"> </w:t>
      </w:r>
      <w:r w:rsidRPr="00086D8D">
        <w:t>death, the story of Cain’s exile to the East</w:t>
      </w:r>
      <w:r>
        <w:t xml:space="preserve"> </w:t>
      </w:r>
      <w:r w:rsidRPr="00086D8D">
        <w:t>of Eden being a sort of protective custody</w:t>
      </w:r>
      <w:r>
        <w:t xml:space="preserve"> </w:t>
      </w:r>
      <w:r w:rsidRPr="00086D8D">
        <w:t>from his avengers, the story of God starting</w:t>
      </w:r>
      <w:r>
        <w:t xml:space="preserve"> </w:t>
      </w:r>
      <w:r w:rsidRPr="00086D8D">
        <w:t>Creation all over again with Noah in</w:t>
      </w:r>
      <w:r>
        <w:t xml:space="preserve"> </w:t>
      </w:r>
      <w:r w:rsidRPr="00086D8D">
        <w:t>spite of ongoing human sinfulness, are</w:t>
      </w:r>
      <w:r>
        <w:t xml:space="preserve"> </w:t>
      </w:r>
      <w:r w:rsidRPr="00086D8D">
        <w:t>heard in fresh ways by people who are on</w:t>
      </w:r>
      <w:r>
        <w:t xml:space="preserve"> </w:t>
      </w:r>
      <w:r w:rsidRPr="00086D8D">
        <w:t>the brink of starting over again in their</w:t>
      </w:r>
      <w:r>
        <w:t xml:space="preserve"> </w:t>
      </w:r>
      <w:r w:rsidRPr="00086D8D">
        <w:t>own exile. Exile may not be an ending but</w:t>
      </w:r>
      <w:r>
        <w:t xml:space="preserve"> </w:t>
      </w:r>
      <w:r w:rsidRPr="00086D8D">
        <w:t>a beginning. Indeed, Abraham and Sarah,</w:t>
      </w:r>
      <w:r>
        <w:t xml:space="preserve"> </w:t>
      </w:r>
      <w:r w:rsidRPr="00086D8D">
        <w:t>whose story begins in Babylon, immediately</w:t>
      </w:r>
      <w:r>
        <w:t xml:space="preserve"> </w:t>
      </w:r>
      <w:r w:rsidRPr="00086D8D">
        <w:t>following the Tower of Babel mess,</w:t>
      </w:r>
      <w:r>
        <w:t xml:space="preserve"> </w:t>
      </w:r>
      <w:r w:rsidRPr="00086D8D">
        <w:t>offer renewed hope for all would be refugees.</w:t>
      </w:r>
      <w:r>
        <w:t xml:space="preserve"> </w:t>
      </w:r>
      <w:r w:rsidRPr="00086D8D">
        <w:t>Abraham became the mythic father</w:t>
      </w:r>
      <w:r>
        <w:t xml:space="preserve"> </w:t>
      </w:r>
      <w:r w:rsidRPr="00086D8D">
        <w:t>of faith for the world’s three dominant</w:t>
      </w:r>
      <w:r>
        <w:t xml:space="preserve"> </w:t>
      </w:r>
      <w:r w:rsidRPr="00086D8D">
        <w:t>monotheistic religions, precisely because</w:t>
      </w:r>
      <w:r>
        <w:t xml:space="preserve"> </w:t>
      </w:r>
      <w:r w:rsidRPr="00086D8D">
        <w:t>in his refugee status he had to learn to live</w:t>
      </w:r>
      <w:r>
        <w:t xml:space="preserve"> </w:t>
      </w:r>
      <w:r w:rsidRPr="00086D8D">
        <w:t>by faith in a stateless, boundaryless, existence</w:t>
      </w:r>
      <w:r>
        <w:t xml:space="preserve"> </w:t>
      </w:r>
      <w:r w:rsidRPr="00086D8D">
        <w:t>relying only on God for his identity</w:t>
      </w:r>
      <w:r>
        <w:t xml:space="preserve"> </w:t>
      </w:r>
      <w:r w:rsidRPr="00086D8D">
        <w:t>and existence. He and Sarah were called to</w:t>
      </w:r>
      <w:r>
        <w:t xml:space="preserve"> </w:t>
      </w:r>
      <w:r w:rsidRPr="00086D8D">
        <w:t>leave Babylon in order to live a life of exile,</w:t>
      </w:r>
      <w:r>
        <w:t xml:space="preserve"> </w:t>
      </w:r>
      <w:r w:rsidRPr="00086D8D">
        <w:t xml:space="preserve">that of travelers </w:t>
      </w:r>
      <w:r w:rsidRPr="00086D8D">
        <w:lastRenderedPageBreak/>
        <w:t>toward the Promised Land</w:t>
      </w:r>
      <w:r>
        <w:t xml:space="preserve"> </w:t>
      </w:r>
      <w:r w:rsidRPr="00086D8D">
        <w:t>of Canaan. Even after they arrive there,</w:t>
      </w:r>
      <w:r>
        <w:t xml:space="preserve"> </w:t>
      </w:r>
      <w:r w:rsidRPr="00086D8D">
        <w:t>they leave once again almost immediately</w:t>
      </w:r>
      <w:r>
        <w:t xml:space="preserve"> </w:t>
      </w:r>
      <w:r w:rsidRPr="00086D8D">
        <w:t>into exile in Egypt because of famine. As</w:t>
      </w:r>
      <w:r>
        <w:t xml:space="preserve"> </w:t>
      </w:r>
      <w:r w:rsidRPr="00086D8D">
        <w:t>life was for Abraham and Sarah, so is life</w:t>
      </w:r>
      <w:r>
        <w:t xml:space="preserve"> </w:t>
      </w:r>
      <w:r w:rsidRPr="00086D8D">
        <w:t>for those living in seemingly permanent</w:t>
      </w:r>
      <w:r>
        <w:t xml:space="preserve"> </w:t>
      </w:r>
      <w:r w:rsidRPr="00086D8D">
        <w:t>Exile in Babylon. Their confessions proclaimed:</w:t>
      </w:r>
      <w:r>
        <w:t xml:space="preserve"> </w:t>
      </w:r>
      <w:r w:rsidRPr="00086D8D">
        <w:t>“My father was a wandering Aramean”</w:t>
      </w:r>
      <w:r>
        <w:t xml:space="preserve"> </w:t>
      </w:r>
      <w:r w:rsidRPr="00086D8D">
        <w:t>(D</w:t>
      </w:r>
      <w:r>
        <w:t>eu</w:t>
      </w:r>
      <w:r w:rsidRPr="00086D8D">
        <w:t>t</w:t>
      </w:r>
      <w:r>
        <w:t>eronomy</w:t>
      </w:r>
      <w:r w:rsidRPr="00086D8D">
        <w:t xml:space="preserve"> 26:5). Perhaps, wandering like</w:t>
      </w:r>
      <w:r>
        <w:t xml:space="preserve"> </w:t>
      </w:r>
      <w:r w:rsidRPr="00086D8D">
        <w:t>Abraham, even in the wilderness for forty</w:t>
      </w:r>
      <w:r>
        <w:t xml:space="preserve"> </w:t>
      </w:r>
      <w:r w:rsidRPr="00086D8D">
        <w:t>years as they would later do, was survivable</w:t>
      </w:r>
      <w:r>
        <w:t xml:space="preserve"> </w:t>
      </w:r>
      <w:r w:rsidRPr="00086D8D">
        <w:t>with God on their side. Perhaps, they</w:t>
      </w:r>
      <w:r>
        <w:t xml:space="preserve"> </w:t>
      </w:r>
      <w:r w:rsidRPr="00086D8D">
        <w:t>could even begin to imagine that they, like</w:t>
      </w:r>
      <w:r>
        <w:t xml:space="preserve"> </w:t>
      </w:r>
      <w:r w:rsidRPr="00086D8D">
        <w:t>Abraham and Sarah, were once again being</w:t>
      </w:r>
      <w:r>
        <w:t xml:space="preserve"> </w:t>
      </w:r>
      <w:r w:rsidRPr="00086D8D">
        <w:t>called out of Babylon to go to the Land</w:t>
      </w:r>
      <w:r>
        <w:t xml:space="preserve"> </w:t>
      </w:r>
      <w:r w:rsidRPr="00086D8D">
        <w:t>of Promise (Is</w:t>
      </w:r>
      <w:r>
        <w:t>aiah</w:t>
      </w:r>
      <w:r w:rsidRPr="00086D8D">
        <w:t xml:space="preserve"> 51:2).</w:t>
      </w:r>
      <w:r>
        <w:t xml:space="preserve"> </w:t>
      </w:r>
    </w:p>
    <w:p w:rsidR="00052E02" w:rsidRDefault="00052E02" w:rsidP="002925A0">
      <w:pPr>
        <w:pStyle w:val="A-Text"/>
      </w:pPr>
      <w:r>
        <w:tab/>
      </w:r>
      <w:r w:rsidRPr="00086D8D">
        <w:t>Abraham’s grandson Jacob, renamed Israel</w:t>
      </w:r>
      <w:r>
        <w:t xml:space="preserve"> </w:t>
      </w:r>
      <w:r w:rsidRPr="00086D8D">
        <w:t>on his way into Exile to Haran (Babylon),</w:t>
      </w:r>
      <w:r>
        <w:t xml:space="preserve"> </w:t>
      </w:r>
      <w:r w:rsidRPr="00086D8D">
        <w:t>receives his new name and renewed</w:t>
      </w:r>
      <w:r>
        <w:t xml:space="preserve"> </w:t>
      </w:r>
      <w:r w:rsidRPr="00086D8D">
        <w:t>promises of destiny even as he flees for his</w:t>
      </w:r>
      <w:r>
        <w:t xml:space="preserve"> </w:t>
      </w:r>
      <w:r w:rsidRPr="00086D8D">
        <w:t>life from his murderous brother Esau. Jacob,</w:t>
      </w:r>
      <w:r>
        <w:t xml:space="preserve"> </w:t>
      </w:r>
      <w:r w:rsidRPr="00086D8D">
        <w:t>now Israel, eventually returns to the</w:t>
      </w:r>
      <w:r>
        <w:t xml:space="preserve"> </w:t>
      </w:r>
      <w:r w:rsidRPr="00086D8D">
        <w:t>Promised Land in humility, bearing gifts</w:t>
      </w:r>
      <w:r>
        <w:t xml:space="preserve"> </w:t>
      </w:r>
      <w:r w:rsidRPr="00086D8D">
        <w:t>and bowing down before his brother in reconciliation.</w:t>
      </w:r>
      <w:r>
        <w:t xml:space="preserve"> </w:t>
      </w:r>
      <w:r w:rsidRPr="00086D8D">
        <w:t>Recounting such a tale would</w:t>
      </w:r>
      <w:r>
        <w:t xml:space="preserve"> </w:t>
      </w:r>
      <w:r w:rsidRPr="00086D8D">
        <w:t>remind those returning, or about to return</w:t>
      </w:r>
      <w:r>
        <w:t xml:space="preserve"> </w:t>
      </w:r>
      <w:r w:rsidRPr="00086D8D">
        <w:t>to Judah from Babylon, of the need to consider</w:t>
      </w:r>
      <w:r>
        <w:t xml:space="preserve"> </w:t>
      </w:r>
      <w:r w:rsidRPr="00086D8D">
        <w:t>how delicate any rapprochement</w:t>
      </w:r>
      <w:r>
        <w:t xml:space="preserve"> </w:t>
      </w:r>
      <w:r w:rsidRPr="00086D8D">
        <w:t>with those living back in the homeland</w:t>
      </w:r>
      <w:r>
        <w:t xml:space="preserve"> </w:t>
      </w:r>
      <w:r w:rsidRPr="00086D8D">
        <w:t>might need to be.</w:t>
      </w:r>
      <w:r>
        <w:t xml:space="preserve"> </w:t>
      </w:r>
    </w:p>
    <w:p w:rsidR="00052E02" w:rsidRDefault="00052E02" w:rsidP="002E5E2A">
      <w:pPr>
        <w:pStyle w:val="A-CH"/>
        <w:spacing w:before="360" w:after="120"/>
        <w:rPr>
          <w:rFonts w:cs="Times New Roman"/>
        </w:rPr>
      </w:pPr>
      <w:r w:rsidRPr="00086D8D">
        <w:t>Living in Exile: Maintaining Communities of Faith</w:t>
      </w:r>
    </w:p>
    <w:p w:rsidR="00052E02" w:rsidRDefault="00052E02" w:rsidP="002925A0">
      <w:pPr>
        <w:pStyle w:val="A-Text"/>
      </w:pPr>
      <w:r w:rsidRPr="00086D8D">
        <w:t>The law codes and legal material found</w:t>
      </w:r>
      <w:r>
        <w:t xml:space="preserve"> </w:t>
      </w:r>
      <w:r w:rsidRPr="00086D8D">
        <w:t>throughout the Pentateuch serve to</w:t>
      </w:r>
      <w:r>
        <w:t xml:space="preserve"> </w:t>
      </w:r>
      <w:r w:rsidRPr="00086D8D">
        <w:t>remind people living in exile of the importance</w:t>
      </w:r>
      <w:r>
        <w:t xml:space="preserve"> </w:t>
      </w:r>
      <w:r w:rsidRPr="00086D8D">
        <w:t>that worship and ethics play in the</w:t>
      </w:r>
      <w:r>
        <w:t xml:space="preserve"> </w:t>
      </w:r>
      <w:r w:rsidRPr="00086D8D">
        <w:t>formation and maintenance of communities</w:t>
      </w:r>
      <w:r>
        <w:t xml:space="preserve"> </w:t>
      </w:r>
      <w:r w:rsidRPr="00086D8D">
        <w:t>of faith and life. Indeed, people living</w:t>
      </w:r>
      <w:r>
        <w:t xml:space="preserve"> </w:t>
      </w:r>
      <w:r w:rsidRPr="00086D8D">
        <w:t>in exile might easily be tempted to assimilate</w:t>
      </w:r>
      <w:r>
        <w:t xml:space="preserve"> </w:t>
      </w:r>
      <w:r w:rsidRPr="00086D8D">
        <w:t>to the dominant culture, choose the</w:t>
      </w:r>
      <w:r>
        <w:t xml:space="preserve"> </w:t>
      </w:r>
      <w:r w:rsidRPr="00086D8D">
        <w:t>gods of the empire, and too easily forget</w:t>
      </w:r>
      <w:r>
        <w:t xml:space="preserve"> </w:t>
      </w:r>
      <w:r w:rsidRPr="00086D8D">
        <w:t>the Covenant relationship promised to</w:t>
      </w:r>
      <w:r>
        <w:t xml:space="preserve"> </w:t>
      </w:r>
      <w:r w:rsidRPr="00086D8D">
        <w:t>them by God. All the various versions of</w:t>
      </w:r>
      <w:r>
        <w:t xml:space="preserve"> </w:t>
      </w:r>
      <w:r w:rsidRPr="00086D8D">
        <w:t>the Law in the Pentateuch seem to function</w:t>
      </w:r>
      <w:r>
        <w:t xml:space="preserve"> </w:t>
      </w:r>
      <w:r w:rsidRPr="00086D8D">
        <w:t>less as stories telling of Israel’s past,</w:t>
      </w:r>
      <w:r>
        <w:t xml:space="preserve"> </w:t>
      </w:r>
      <w:r w:rsidRPr="00086D8D">
        <w:t>than as stories creating an imagined future</w:t>
      </w:r>
      <w:r>
        <w:t xml:space="preserve"> </w:t>
      </w:r>
      <w:r w:rsidRPr="00086D8D">
        <w:t>around profound jurisprudence and constitutional</w:t>
      </w:r>
      <w:r>
        <w:t xml:space="preserve"> </w:t>
      </w:r>
      <w:r w:rsidRPr="00086D8D">
        <w:t>formation. Ultimately, the variety</w:t>
      </w:r>
      <w:r>
        <w:t xml:space="preserve"> </w:t>
      </w:r>
      <w:r w:rsidRPr="00086D8D">
        <w:t>of laws in the Pentateuch, and especially</w:t>
      </w:r>
      <w:r>
        <w:t xml:space="preserve"> </w:t>
      </w:r>
      <w:r w:rsidRPr="00086D8D">
        <w:t>those that have been explicitly updated</w:t>
      </w:r>
      <w:r>
        <w:t xml:space="preserve"> </w:t>
      </w:r>
      <w:r w:rsidRPr="00086D8D">
        <w:t>from earlier versions of the Law such as</w:t>
      </w:r>
      <w:r>
        <w:t xml:space="preserve"> </w:t>
      </w:r>
      <w:r w:rsidRPr="00086D8D">
        <w:t>Moses models in the Book of Deuteronomy,</w:t>
      </w:r>
      <w:r>
        <w:t xml:space="preserve"> </w:t>
      </w:r>
      <w:r w:rsidRPr="00086D8D">
        <w:t>suggest that even these sacred laws</w:t>
      </w:r>
      <w:r>
        <w:t xml:space="preserve"> </w:t>
      </w:r>
      <w:r w:rsidRPr="00086D8D">
        <w:t>may be in need of periodic revision. The</w:t>
      </w:r>
      <w:r>
        <w:t xml:space="preserve"> </w:t>
      </w:r>
      <w:r w:rsidRPr="00086D8D">
        <w:t>laws serve as a summons to the people to</w:t>
      </w:r>
      <w:r>
        <w:t xml:space="preserve"> </w:t>
      </w:r>
      <w:r w:rsidRPr="00086D8D">
        <w:t>live lives of obedience and true worship, to</w:t>
      </w:r>
      <w:r>
        <w:t xml:space="preserve"> </w:t>
      </w:r>
      <w:r w:rsidRPr="00086D8D">
        <w:t>make choices for blessing, now more than</w:t>
      </w:r>
      <w:r>
        <w:t xml:space="preserve"> </w:t>
      </w:r>
      <w:r w:rsidRPr="00086D8D">
        <w:t>ever, as they stand on the banks of the Jordan</w:t>
      </w:r>
      <w:r>
        <w:t xml:space="preserve"> </w:t>
      </w:r>
      <w:r w:rsidRPr="00086D8D">
        <w:t>or Tigris and Euphrates Rivers living</w:t>
      </w:r>
      <w:r>
        <w:t xml:space="preserve"> </w:t>
      </w:r>
      <w:r w:rsidRPr="00086D8D">
        <w:t>in hope of yet fulfilled promises.</w:t>
      </w:r>
      <w:r>
        <w:t xml:space="preserve"> </w:t>
      </w:r>
    </w:p>
    <w:p w:rsidR="00052E02" w:rsidRDefault="00052E02" w:rsidP="002E5E2A">
      <w:pPr>
        <w:pStyle w:val="A-Text"/>
        <w:spacing w:after="100"/>
      </w:pPr>
      <w:r>
        <w:tab/>
      </w:r>
      <w:r w:rsidRPr="00086D8D">
        <w:t>When Jesus is asked by some lawyerly</w:t>
      </w:r>
      <w:r>
        <w:t xml:space="preserve"> </w:t>
      </w:r>
      <w:r w:rsidRPr="00086D8D">
        <w:t>peers who are trying to test his faith,</w:t>
      </w:r>
      <w:r>
        <w:t xml:space="preserve"> </w:t>
      </w:r>
      <w:r w:rsidRPr="00086D8D">
        <w:t>“Which commandment in the law is the</w:t>
      </w:r>
      <w:r>
        <w:t xml:space="preserve"> </w:t>
      </w:r>
      <w:r w:rsidRPr="00086D8D">
        <w:t>greatest?” (M</w:t>
      </w:r>
      <w:r>
        <w:t>at</w:t>
      </w:r>
      <w:r w:rsidRPr="00086D8D">
        <w:t>t</w:t>
      </w:r>
      <w:r>
        <w:t>hew</w:t>
      </w:r>
      <w:r w:rsidRPr="00086D8D">
        <w:t xml:space="preserve"> 22:34–40), he responds with</w:t>
      </w:r>
      <w:r>
        <w:t xml:space="preserve"> </w:t>
      </w:r>
      <w:r w:rsidRPr="00086D8D">
        <w:t>two verses from the Pentateuch. First, he</w:t>
      </w:r>
      <w:r>
        <w:t xml:space="preserve"> </w:t>
      </w:r>
      <w:r w:rsidRPr="00086D8D">
        <w:t>quotes Deuteronomy 6:5: “You shall love</w:t>
      </w:r>
      <w:r>
        <w:t xml:space="preserve"> </w:t>
      </w:r>
      <w:r w:rsidRPr="00086D8D">
        <w:t>the Lord, your God, with all your heart, and</w:t>
      </w:r>
      <w:r>
        <w:t xml:space="preserve"> </w:t>
      </w:r>
      <w:r w:rsidRPr="00086D8D">
        <w:t>with all your soul, and with all your mind”</w:t>
      </w:r>
      <w:r>
        <w:t xml:space="preserve"> </w:t>
      </w:r>
      <w:r w:rsidRPr="00086D8D">
        <w:t>(verse 37). Jesus adds that “this is the</w:t>
      </w:r>
      <w:r>
        <w:t xml:space="preserve"> </w:t>
      </w:r>
      <w:r w:rsidRPr="00086D8D">
        <w:t>greatest and the first commandment”</w:t>
      </w:r>
      <w:r>
        <w:t xml:space="preserve"> </w:t>
      </w:r>
      <w:r w:rsidRPr="00086D8D">
        <w:t>(verse 38). Second, he quotes Leviticus</w:t>
      </w:r>
      <w:r>
        <w:t xml:space="preserve"> </w:t>
      </w:r>
      <w:r w:rsidRPr="00086D8D">
        <w:t>19:18: “The second is like it: You shall love</w:t>
      </w:r>
      <w:r>
        <w:t xml:space="preserve"> </w:t>
      </w:r>
      <w:r w:rsidRPr="00086D8D">
        <w:t>your neighbor as yourself” (verse 39).</w:t>
      </w:r>
      <w:r>
        <w:t xml:space="preserve"> </w:t>
      </w:r>
      <w:r w:rsidRPr="00086D8D">
        <w:t>Jesus concludes by saying, “The whole law</w:t>
      </w:r>
      <w:r>
        <w:t xml:space="preserve"> </w:t>
      </w:r>
      <w:r w:rsidRPr="00086D8D">
        <w:t>[meaning Torah or Pentateuch in this instance]</w:t>
      </w:r>
      <w:r>
        <w:t xml:space="preserve"> </w:t>
      </w:r>
      <w:r w:rsidRPr="00086D8D">
        <w:t>and the prophets depend on these</w:t>
      </w:r>
      <w:r>
        <w:t xml:space="preserve"> </w:t>
      </w:r>
      <w:r w:rsidRPr="00086D8D">
        <w:t>two commandments” (verse 40). In a</w:t>
      </w:r>
      <w:r>
        <w:t xml:space="preserve"> </w:t>
      </w:r>
      <w:r w:rsidRPr="00086D8D">
        <w:t>sense, in reciting these two verses from the</w:t>
      </w:r>
      <w:r>
        <w:t xml:space="preserve"> </w:t>
      </w:r>
      <w:r w:rsidRPr="00086D8D">
        <w:t>Pentateuch, Jesus responds to two questions</w:t>
      </w:r>
      <w:r>
        <w:t xml:space="preserve"> </w:t>
      </w:r>
      <w:r w:rsidRPr="00086D8D">
        <w:t>asked by the Lord at the beginning of</w:t>
      </w:r>
      <w:r>
        <w:t xml:space="preserve"> </w:t>
      </w:r>
      <w:r w:rsidRPr="00086D8D">
        <w:t>the Pentateuch. To Adam and Eve hiding in</w:t>
      </w:r>
      <w:r>
        <w:t xml:space="preserve"> </w:t>
      </w:r>
      <w:r w:rsidRPr="00086D8D">
        <w:t>shame because of their disobedience, the</w:t>
      </w:r>
      <w:r>
        <w:t xml:space="preserve"> </w:t>
      </w:r>
      <w:r w:rsidRPr="00086D8D">
        <w:t>Lord seeks them out and asks, “Where are</w:t>
      </w:r>
      <w:r>
        <w:t xml:space="preserve"> </w:t>
      </w:r>
      <w:r w:rsidRPr="00086D8D">
        <w:t>you?” (G</w:t>
      </w:r>
      <w:r>
        <w:t>e</w:t>
      </w:r>
      <w:r w:rsidRPr="00086D8D">
        <w:t>n</w:t>
      </w:r>
      <w:r>
        <w:t>esis</w:t>
      </w:r>
      <w:r w:rsidRPr="00086D8D">
        <w:t xml:space="preserve"> 3:9). To Cain, after he kills his</w:t>
      </w:r>
      <w:r>
        <w:t xml:space="preserve"> </w:t>
      </w:r>
      <w:r w:rsidRPr="00086D8D">
        <w:t>brother, the Lord asks, “Where is your</w:t>
      </w:r>
      <w:r>
        <w:t xml:space="preserve"> </w:t>
      </w:r>
      <w:r w:rsidRPr="00086D8D">
        <w:t>brother?” (G</w:t>
      </w:r>
      <w:r>
        <w:t>e</w:t>
      </w:r>
      <w:r w:rsidRPr="00086D8D">
        <w:t>n</w:t>
      </w:r>
      <w:r>
        <w:t>esis</w:t>
      </w:r>
      <w:r w:rsidRPr="00086D8D">
        <w:t xml:space="preserve"> 4:9). The first question invites</w:t>
      </w:r>
      <w:r>
        <w:t xml:space="preserve"> </w:t>
      </w:r>
      <w:r w:rsidRPr="00086D8D">
        <w:t>reflection on one’s relationship to</w:t>
      </w:r>
      <w:r>
        <w:t xml:space="preserve"> </w:t>
      </w:r>
      <w:r w:rsidRPr="00086D8D">
        <w:t>God, the Creator. The second question invites</w:t>
      </w:r>
      <w:r>
        <w:t xml:space="preserve"> </w:t>
      </w:r>
      <w:r w:rsidRPr="00086D8D">
        <w:t>reflection on one’s sister or brother or</w:t>
      </w:r>
      <w:r>
        <w:t xml:space="preserve"> </w:t>
      </w:r>
      <w:r w:rsidRPr="00086D8D">
        <w:t>neighbor. In short, Jesus’ summary of the</w:t>
      </w:r>
      <w:r>
        <w:t xml:space="preserve"> </w:t>
      </w:r>
      <w:r w:rsidRPr="00086D8D">
        <w:t>Law is a summary of the Pentateuch—love</w:t>
      </w:r>
      <w:r>
        <w:t xml:space="preserve"> </w:t>
      </w:r>
      <w:r w:rsidRPr="00086D8D">
        <w:t>God and love others!</w:t>
      </w:r>
      <w:r>
        <w:t xml:space="preserve"> </w:t>
      </w:r>
    </w:p>
    <w:p w:rsidR="00052E02" w:rsidRPr="002E5E2A" w:rsidRDefault="00052E02" w:rsidP="002E5E2A">
      <w:pPr>
        <w:pStyle w:val="A-References-roman"/>
        <w:spacing w:before="240"/>
        <w:rPr>
          <w:sz w:val="16"/>
          <w:szCs w:val="16"/>
        </w:rPr>
      </w:pPr>
      <w:r w:rsidRPr="002E5E2A">
        <w:rPr>
          <w:sz w:val="16"/>
          <w:szCs w:val="16"/>
        </w:rPr>
        <w:t xml:space="preserve">(This article is from “Introduction to the Pentateuch,” by James E. Brenneman, PhD, President of Goshen College Goshen, Indiana, in </w:t>
      </w:r>
      <w:r w:rsidRPr="002E5E2A">
        <w:rPr>
          <w:i/>
          <w:iCs/>
          <w:sz w:val="16"/>
          <w:szCs w:val="16"/>
        </w:rPr>
        <w:t>The Saint Mary’s Press</w:t>
      </w:r>
      <w:r w:rsidRPr="002E5E2A">
        <w:rPr>
          <w:i/>
          <w:iCs/>
          <w:sz w:val="16"/>
          <w:szCs w:val="16"/>
          <w:vertAlign w:val="superscript"/>
        </w:rPr>
        <w:t>®</w:t>
      </w:r>
      <w:r w:rsidRPr="002E5E2A">
        <w:rPr>
          <w:i/>
          <w:iCs/>
          <w:sz w:val="16"/>
          <w:szCs w:val="16"/>
        </w:rPr>
        <w:t xml:space="preserve"> College Study Bible, New American Bible</w:t>
      </w:r>
      <w:r w:rsidRPr="002E5E2A">
        <w:rPr>
          <w:sz w:val="16"/>
          <w:szCs w:val="16"/>
        </w:rPr>
        <w:t>, ed. Virginia Halbur [Winona, MN: Saint Mary’s Press, 2007], pages 5–9.)</w:t>
      </w:r>
    </w:p>
    <w:sectPr w:rsidR="00052E02" w:rsidRPr="002E5E2A" w:rsidSect="002E5E2A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900" w:right="1440" w:bottom="171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B0C" w:rsidRDefault="001C0B0C" w:rsidP="004D0079">
      <w:r>
        <w:separator/>
      </w:r>
    </w:p>
  </w:endnote>
  <w:endnote w:type="continuationSeparator" w:id="0">
    <w:p w:rsidR="001C0B0C" w:rsidRDefault="001C0B0C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4C" w:rsidRDefault="00CA154C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4C" w:rsidRPr="00F82D2A" w:rsidRDefault="00721056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CA154C" w:rsidRDefault="00CA154C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CA154C" w:rsidRPr="000318AE" w:rsidRDefault="00CA154C" w:rsidP="00D17303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AD5538" w:rsidRPr="000318A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AD553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0010</w:t>
                </w:r>
                <w:r w:rsidR="00D17303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24</w:t>
                </w:r>
              </w:p>
              <w:p w:rsidR="00CA154C" w:rsidRPr="000318AE" w:rsidRDefault="00CA154C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CA154C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4C" w:rsidRDefault="00721056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CA154C" w:rsidRDefault="00CA154C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CA154C" w:rsidRPr="000318AE" w:rsidRDefault="00CA154C" w:rsidP="00D17303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0318A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AD553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0010</w:t>
                </w:r>
                <w:r w:rsidR="00D17303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24</w:t>
                </w:r>
              </w:p>
              <w:p w:rsidR="00CA154C" w:rsidRPr="000E1ADA" w:rsidRDefault="00CA154C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CA154C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B0C" w:rsidRDefault="001C0B0C" w:rsidP="004D0079">
      <w:r>
        <w:separator/>
      </w:r>
    </w:p>
  </w:footnote>
  <w:footnote w:type="continuationSeparator" w:id="0">
    <w:p w:rsidR="001C0B0C" w:rsidRDefault="001C0B0C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4C" w:rsidRDefault="00D17303" w:rsidP="00D17303">
    <w:pPr>
      <w:pStyle w:val="A-Header-articletitlepage2"/>
    </w:pPr>
    <w:r w:rsidRPr="00086D8D">
      <w:t>Introduction to the Pentateuch</w:t>
    </w:r>
    <w:r w:rsidR="00CA154C">
      <w:tab/>
    </w:r>
    <w:r w:rsidR="00CA154C" w:rsidRPr="00F82D2A">
      <w:t xml:space="preserve">Page | </w:t>
    </w:r>
    <w:fldSimple w:instr=" PAGE   \* MERGEFORMAT ">
      <w:r w:rsidR="002E5E2A">
        <w:rPr>
          <w:noProof/>
        </w:rPr>
        <w:t>4</w:t>
      </w:r>
    </w:fldSimple>
  </w:p>
  <w:p w:rsidR="00CA154C" w:rsidRDefault="00CA154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13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11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10242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174A3"/>
    <w:rsid w:val="000262AD"/>
    <w:rsid w:val="000318AE"/>
    <w:rsid w:val="00052E02"/>
    <w:rsid w:val="00084EB9"/>
    <w:rsid w:val="00086E79"/>
    <w:rsid w:val="00093CB0"/>
    <w:rsid w:val="000B4E68"/>
    <w:rsid w:val="000C5F25"/>
    <w:rsid w:val="000E1ADA"/>
    <w:rsid w:val="000E564B"/>
    <w:rsid w:val="000F6CCE"/>
    <w:rsid w:val="00103E1C"/>
    <w:rsid w:val="00122197"/>
    <w:rsid w:val="0012600C"/>
    <w:rsid w:val="001309E6"/>
    <w:rsid w:val="001334C6"/>
    <w:rsid w:val="001379AD"/>
    <w:rsid w:val="00152401"/>
    <w:rsid w:val="00175D31"/>
    <w:rsid w:val="0019539C"/>
    <w:rsid w:val="001C0A8C"/>
    <w:rsid w:val="001C0B0C"/>
    <w:rsid w:val="001C0EF4"/>
    <w:rsid w:val="001E64A9"/>
    <w:rsid w:val="001F322F"/>
    <w:rsid w:val="001F7384"/>
    <w:rsid w:val="00225B1E"/>
    <w:rsid w:val="00231C40"/>
    <w:rsid w:val="00254E02"/>
    <w:rsid w:val="00261080"/>
    <w:rsid w:val="00265087"/>
    <w:rsid w:val="002667C3"/>
    <w:rsid w:val="00272AE8"/>
    <w:rsid w:val="00284A63"/>
    <w:rsid w:val="002925A0"/>
    <w:rsid w:val="00292C4F"/>
    <w:rsid w:val="002A4E6A"/>
    <w:rsid w:val="002E0443"/>
    <w:rsid w:val="002E1A1D"/>
    <w:rsid w:val="002E43EB"/>
    <w:rsid w:val="002E5E2A"/>
    <w:rsid w:val="002E77F4"/>
    <w:rsid w:val="002F50BD"/>
    <w:rsid w:val="002F78AB"/>
    <w:rsid w:val="003037EB"/>
    <w:rsid w:val="00303ADB"/>
    <w:rsid w:val="0031278E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B0E7A"/>
    <w:rsid w:val="003D381C"/>
    <w:rsid w:val="003F5CF4"/>
    <w:rsid w:val="00405DC9"/>
    <w:rsid w:val="00423B78"/>
    <w:rsid w:val="004311A3"/>
    <w:rsid w:val="00440EB8"/>
    <w:rsid w:val="00454A1D"/>
    <w:rsid w:val="00460918"/>
    <w:rsid w:val="00470479"/>
    <w:rsid w:val="00475571"/>
    <w:rsid w:val="004A0AE3"/>
    <w:rsid w:val="004A7DE2"/>
    <w:rsid w:val="004C5561"/>
    <w:rsid w:val="004D0079"/>
    <w:rsid w:val="004D74F6"/>
    <w:rsid w:val="004D7A2E"/>
    <w:rsid w:val="004E5DFC"/>
    <w:rsid w:val="00500FAD"/>
    <w:rsid w:val="00545244"/>
    <w:rsid w:val="00555EA6"/>
    <w:rsid w:val="00587DC6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45A10"/>
    <w:rsid w:val="00652A68"/>
    <w:rsid w:val="006609CF"/>
    <w:rsid w:val="00681256"/>
    <w:rsid w:val="0069306F"/>
    <w:rsid w:val="006A5B02"/>
    <w:rsid w:val="006B3F4F"/>
    <w:rsid w:val="006C2FB1"/>
    <w:rsid w:val="006C6F41"/>
    <w:rsid w:val="006D6EE7"/>
    <w:rsid w:val="006E4F88"/>
    <w:rsid w:val="006F5958"/>
    <w:rsid w:val="0070169A"/>
    <w:rsid w:val="007034FE"/>
    <w:rsid w:val="007137D5"/>
    <w:rsid w:val="00714D56"/>
    <w:rsid w:val="00721056"/>
    <w:rsid w:val="0073114D"/>
    <w:rsid w:val="00732B33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E03F1"/>
    <w:rsid w:val="007F1D2D"/>
    <w:rsid w:val="008111FA"/>
    <w:rsid w:val="00811A84"/>
    <w:rsid w:val="00820449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B14F9"/>
    <w:rsid w:val="008D10BC"/>
    <w:rsid w:val="008F12E1"/>
    <w:rsid w:val="008F12F7"/>
    <w:rsid w:val="008F22A0"/>
    <w:rsid w:val="008F58B2"/>
    <w:rsid w:val="009064EC"/>
    <w:rsid w:val="00933E81"/>
    <w:rsid w:val="00945A73"/>
    <w:rsid w:val="009563C5"/>
    <w:rsid w:val="00972002"/>
    <w:rsid w:val="009D36BA"/>
    <w:rsid w:val="009F2BD3"/>
    <w:rsid w:val="00A00D1F"/>
    <w:rsid w:val="00A072A2"/>
    <w:rsid w:val="00A234BF"/>
    <w:rsid w:val="00A23C78"/>
    <w:rsid w:val="00A40BFA"/>
    <w:rsid w:val="00A457D3"/>
    <w:rsid w:val="00A51E67"/>
    <w:rsid w:val="00A552FD"/>
    <w:rsid w:val="00A55D18"/>
    <w:rsid w:val="00A60740"/>
    <w:rsid w:val="00A63150"/>
    <w:rsid w:val="00A8313D"/>
    <w:rsid w:val="00AA7F49"/>
    <w:rsid w:val="00AD5538"/>
    <w:rsid w:val="00AD6F0C"/>
    <w:rsid w:val="00AF2A78"/>
    <w:rsid w:val="00AF4B1B"/>
    <w:rsid w:val="00B11A16"/>
    <w:rsid w:val="00B11C59"/>
    <w:rsid w:val="00B15B28"/>
    <w:rsid w:val="00B443C3"/>
    <w:rsid w:val="00B47B42"/>
    <w:rsid w:val="00B51054"/>
    <w:rsid w:val="00B572B7"/>
    <w:rsid w:val="00BB3120"/>
    <w:rsid w:val="00BC1E13"/>
    <w:rsid w:val="00BC4453"/>
    <w:rsid w:val="00BD06B0"/>
    <w:rsid w:val="00BE3E0E"/>
    <w:rsid w:val="00C01E2D"/>
    <w:rsid w:val="00C07507"/>
    <w:rsid w:val="00C13310"/>
    <w:rsid w:val="00C3410A"/>
    <w:rsid w:val="00C3609F"/>
    <w:rsid w:val="00C4361D"/>
    <w:rsid w:val="00C50BCE"/>
    <w:rsid w:val="00C760F8"/>
    <w:rsid w:val="00C90442"/>
    <w:rsid w:val="00C91156"/>
    <w:rsid w:val="00CA154C"/>
    <w:rsid w:val="00CC176C"/>
    <w:rsid w:val="00CC5843"/>
    <w:rsid w:val="00CD1FEA"/>
    <w:rsid w:val="00CD2136"/>
    <w:rsid w:val="00D04A29"/>
    <w:rsid w:val="00D105EA"/>
    <w:rsid w:val="00D11C4B"/>
    <w:rsid w:val="00D14D22"/>
    <w:rsid w:val="00D17303"/>
    <w:rsid w:val="00D45298"/>
    <w:rsid w:val="00D57D5E"/>
    <w:rsid w:val="00D63C6D"/>
    <w:rsid w:val="00D64EB1"/>
    <w:rsid w:val="00D80DBD"/>
    <w:rsid w:val="00D82358"/>
    <w:rsid w:val="00D83EE1"/>
    <w:rsid w:val="00DB4EA7"/>
    <w:rsid w:val="00DD28A2"/>
    <w:rsid w:val="00E02EAF"/>
    <w:rsid w:val="00E16237"/>
    <w:rsid w:val="00E253AA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3641A"/>
    <w:rsid w:val="00F374A2"/>
    <w:rsid w:val="00F40A11"/>
    <w:rsid w:val="00F443B7"/>
    <w:rsid w:val="00F447FB"/>
    <w:rsid w:val="00F713FF"/>
    <w:rsid w:val="00F7282A"/>
    <w:rsid w:val="00F80D72"/>
    <w:rsid w:val="00F82D2A"/>
    <w:rsid w:val="00F841F8"/>
    <w:rsid w:val="00F95DBB"/>
    <w:rsid w:val="00FA2722"/>
    <w:rsid w:val="00FA5405"/>
    <w:rsid w:val="00FA5E9A"/>
    <w:rsid w:val="00FC0585"/>
    <w:rsid w:val="00FD28A1"/>
    <w:rsid w:val="00FD3F5B"/>
    <w:rsid w:val="00FD76D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cs="Times New Roman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paragraph" w:customStyle="1" w:styleId="text">
    <w:name w:val="text"/>
    <w:uiPriority w:val="99"/>
    <w:rsid w:val="00470479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bulletlist">
    <w:name w:val="bullet list"/>
    <w:uiPriority w:val="99"/>
    <w:rsid w:val="00470479"/>
    <w:pPr>
      <w:spacing w:after="0" w:line="480" w:lineRule="auto"/>
      <w:ind w:left="720" w:hanging="720"/>
    </w:pPr>
    <w:rPr>
      <w:rFonts w:ascii="Book Antiqua" w:eastAsia="Times" w:hAnsi="Book Antiqua" w:cs="Book Antiqu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A457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457D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57D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457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57D3"/>
    <w:rPr>
      <w:b/>
      <w:bCs/>
    </w:rPr>
  </w:style>
  <w:style w:type="paragraph" w:customStyle="1" w:styleId="A-DH2">
    <w:name w:val="A- DH2"/>
    <w:basedOn w:val="A-EH"/>
    <w:qFormat/>
    <w:rsid w:val="00587DC6"/>
    <w:pPr>
      <w:spacing w:before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E45A1-2C03-42A2-9630-446812ACC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2531</Words>
  <Characters>14432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Caren Yang</cp:lastModifiedBy>
  <cp:revision>5</cp:revision>
  <cp:lastPrinted>2010-01-08T18:19:00Z</cp:lastPrinted>
  <dcterms:created xsi:type="dcterms:W3CDTF">2010-02-15T16:09:00Z</dcterms:created>
  <dcterms:modified xsi:type="dcterms:W3CDTF">2010-02-15T21:13:00Z</dcterms:modified>
</cp:coreProperties>
</file>