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EF" w:rsidRDefault="00134FEF" w:rsidP="00A62481">
      <w:pPr>
        <w:pStyle w:val="h1a"/>
      </w:pPr>
      <w:r w:rsidRPr="00CE0D26">
        <w:t>Vocabulary</w:t>
      </w:r>
      <w:r w:rsidR="00FE6026" w:rsidRPr="00CE0D26">
        <w:t xml:space="preserve"> for Unit 4</w:t>
      </w:r>
    </w:p>
    <w:p w:rsidR="00CE0D26" w:rsidRDefault="00CE0D26" w:rsidP="00A62481">
      <w:pPr>
        <w:pStyle w:val="h2a"/>
      </w:pPr>
      <w:r>
        <w:t>Terms for Mastery</w:t>
      </w:r>
    </w:p>
    <w:p w:rsidR="00CE0D26" w:rsidRDefault="00CE0D26" w:rsidP="0033507C">
      <w:pPr>
        <w:pStyle w:val="body-firstpara"/>
        <w:spacing w:after="120"/>
      </w:pPr>
      <w:proofErr w:type="gramStart"/>
      <w:r w:rsidRPr="00A62481">
        <w:rPr>
          <w:rStyle w:val="emphasis-bold"/>
        </w:rPr>
        <w:t>apocalyptic</w:t>
      </w:r>
      <w:proofErr w:type="gramEnd"/>
      <w:r w:rsidRPr="00A62481">
        <w:rPr>
          <w:rStyle w:val="emphasis-bold"/>
        </w:rPr>
        <w:t xml:space="preserve"> literature</w:t>
      </w:r>
      <w:r w:rsidR="00C47DB4">
        <w:rPr>
          <w:rStyle w:val="emphasis-bold"/>
        </w:rPr>
        <w:t xml:space="preserve"> </w:t>
      </w:r>
      <w:r w:rsidR="00E47DBF">
        <w:rPr>
          <w:b/>
        </w:rPr>
        <w:t xml:space="preserve"> </w:t>
      </w:r>
      <w:r w:rsidR="00E47DBF">
        <w:t>A literary form that uses dramatic events and highly symbolic language to offer hope to a people in crisis.</w:t>
      </w:r>
    </w:p>
    <w:p w:rsidR="00C47DB4" w:rsidRDefault="00C47DB4" w:rsidP="0033507C">
      <w:pPr>
        <w:pStyle w:val="body-firstpara"/>
        <w:spacing w:after="120"/>
      </w:pPr>
      <w:proofErr w:type="gramStart"/>
      <w:r w:rsidRPr="00A62481">
        <w:rPr>
          <w:rStyle w:val="emphasis-bold"/>
        </w:rPr>
        <w:t>Beatitudes</w:t>
      </w:r>
      <w:r>
        <w:rPr>
          <w:rStyle w:val="emphasis-bold"/>
        </w:rPr>
        <w:t xml:space="preserve"> </w:t>
      </w:r>
      <w:r>
        <w:rPr>
          <w:b/>
        </w:rPr>
        <w:t xml:space="preserve"> </w:t>
      </w:r>
      <w:r>
        <w:t>The</w:t>
      </w:r>
      <w:proofErr w:type="gramEnd"/>
      <w:r>
        <w:t xml:space="preserve"> teachings of Jesus that begin the Sermon on the Mount and that summarize the New Law of Christ. The Beatitudes describe the actions and attitudes by which one can discover genuine happiness</w:t>
      </w:r>
      <w:r w:rsidR="008B3316">
        <w:t>, and</w:t>
      </w:r>
      <w:r>
        <w:t xml:space="preserve"> </w:t>
      </w:r>
      <w:r w:rsidR="008B3316">
        <w:t>t</w:t>
      </w:r>
      <w:r>
        <w:t>hey teach us the final end to which God calls us: full communion with him in the Kingdom of Heaven.</w:t>
      </w:r>
    </w:p>
    <w:p w:rsidR="007002FA" w:rsidRPr="00A62481" w:rsidDel="00C47DB4" w:rsidRDefault="007002FA" w:rsidP="0033507C">
      <w:pPr>
        <w:pStyle w:val="body-firstpara"/>
        <w:spacing w:after="120"/>
      </w:pPr>
      <w:r w:rsidRPr="00A62481" w:rsidDel="00C47DB4">
        <w:rPr>
          <w:rStyle w:val="emphasis-bold"/>
        </w:rPr>
        <w:t xml:space="preserve">Beloved </w:t>
      </w:r>
      <w:proofErr w:type="gramStart"/>
      <w:r w:rsidRPr="00A62481" w:rsidDel="00C47DB4">
        <w:rPr>
          <w:rStyle w:val="emphasis-bold"/>
        </w:rPr>
        <w:t>Disciple</w:t>
      </w:r>
      <w:r w:rsidR="00A40724">
        <w:rPr>
          <w:b/>
        </w:rPr>
        <w:t xml:space="preserve"> </w:t>
      </w:r>
      <w:r w:rsidDel="00C47DB4">
        <w:rPr>
          <w:b/>
        </w:rPr>
        <w:t xml:space="preserve"> </w:t>
      </w:r>
      <w:r w:rsidDel="00C47DB4">
        <w:t>A</w:t>
      </w:r>
      <w:proofErr w:type="gramEnd"/>
      <w:r w:rsidDel="00C47DB4">
        <w:t xml:space="preserve"> faithful disciple in the Gospel of John who is present at critical times in Jesus’ ministry. The Beloved Disciple may have been the founder of the Johannine community.</w:t>
      </w:r>
    </w:p>
    <w:p w:rsidR="007002FA" w:rsidRPr="00E47DBF" w:rsidDel="00C47DB4" w:rsidRDefault="007002FA" w:rsidP="0033507C">
      <w:pPr>
        <w:pStyle w:val="body-firstpara"/>
        <w:spacing w:after="120"/>
      </w:pPr>
      <w:proofErr w:type="gramStart"/>
      <w:r w:rsidRPr="00A62481" w:rsidDel="00C47DB4">
        <w:rPr>
          <w:rStyle w:val="emphasis-bold"/>
        </w:rPr>
        <w:t>epistle</w:t>
      </w:r>
      <w:r w:rsidR="00A40724">
        <w:rPr>
          <w:rStyle w:val="emphasis-bold"/>
        </w:rPr>
        <w:t xml:space="preserve"> </w:t>
      </w:r>
      <w:r w:rsidDel="00C47DB4">
        <w:rPr>
          <w:b/>
        </w:rPr>
        <w:t xml:space="preserve"> </w:t>
      </w:r>
      <w:r w:rsidDel="00C47DB4">
        <w:t>Another</w:t>
      </w:r>
      <w:proofErr w:type="gramEnd"/>
      <w:r w:rsidDel="00C47DB4">
        <w:t xml:space="preserve"> name for a New Testament letter.</w:t>
      </w:r>
    </w:p>
    <w:p w:rsidR="00CE0D26" w:rsidRPr="003E3F63" w:rsidRDefault="00CE0D26" w:rsidP="0033507C">
      <w:pPr>
        <w:pStyle w:val="body-firstpara"/>
        <w:spacing w:after="120"/>
      </w:pPr>
      <w:proofErr w:type="gramStart"/>
      <w:r w:rsidRPr="00A62481">
        <w:rPr>
          <w:rStyle w:val="emphasis-bold"/>
        </w:rPr>
        <w:t>Evangelists</w:t>
      </w:r>
      <w:r w:rsidR="00C47DB4">
        <w:rPr>
          <w:rStyle w:val="emphasis-bold"/>
        </w:rPr>
        <w:t xml:space="preserve"> </w:t>
      </w:r>
      <w:r w:rsidR="003E3F63">
        <w:rPr>
          <w:b/>
        </w:rPr>
        <w:t xml:space="preserve"> </w:t>
      </w:r>
      <w:r w:rsidR="008B3316">
        <w:t>From</w:t>
      </w:r>
      <w:proofErr w:type="gramEnd"/>
      <w:r w:rsidR="008B3316">
        <w:t xml:space="preserve"> a Greek</w:t>
      </w:r>
      <w:r w:rsidR="003E3F63">
        <w:t xml:space="preserve"> word</w:t>
      </w:r>
      <w:r w:rsidR="008B3316">
        <w:t xml:space="preserve"> meaning</w:t>
      </w:r>
      <w:r w:rsidR="003E3F63">
        <w:t xml:space="preserve"> “</w:t>
      </w:r>
      <w:r w:rsidR="008B3316">
        <w:t xml:space="preserve">messenger of </w:t>
      </w:r>
      <w:r w:rsidR="003E3F63">
        <w:t xml:space="preserve">good news,” </w:t>
      </w:r>
      <w:r w:rsidR="008B3316">
        <w:t>the title give</w:t>
      </w:r>
      <w:r w:rsidR="00B602AD">
        <w:t>n</w:t>
      </w:r>
      <w:r w:rsidR="008B3316">
        <w:t xml:space="preserve"> to the</w:t>
      </w:r>
      <w:r w:rsidR="003E3F63">
        <w:t xml:space="preserve"> authors of the Gospels</w:t>
      </w:r>
      <w:r w:rsidR="008B3316">
        <w:t xml:space="preserve"> of</w:t>
      </w:r>
      <w:r w:rsidR="003E3F63">
        <w:t xml:space="preserve"> Matthew, Mark, Luke, and John.</w:t>
      </w:r>
    </w:p>
    <w:p w:rsidR="00CE0D26" w:rsidRPr="003E3F63" w:rsidRDefault="00CE0D26" w:rsidP="0033507C">
      <w:pPr>
        <w:pStyle w:val="body-firstpara"/>
        <w:spacing w:after="120"/>
      </w:pPr>
      <w:proofErr w:type="gramStart"/>
      <w:r w:rsidRPr="00A62481">
        <w:rPr>
          <w:rStyle w:val="emphasis-bold"/>
        </w:rPr>
        <w:t>Gospel</w:t>
      </w:r>
      <w:r w:rsidR="00C47DB4">
        <w:rPr>
          <w:rStyle w:val="emphasis-bold"/>
        </w:rPr>
        <w:t xml:space="preserve"> </w:t>
      </w:r>
      <w:r w:rsidR="003E3F63">
        <w:rPr>
          <w:b/>
        </w:rPr>
        <w:t xml:space="preserve"> </w:t>
      </w:r>
      <w:r w:rsidR="003E3F63">
        <w:t>Translated</w:t>
      </w:r>
      <w:proofErr w:type="gramEnd"/>
      <w:r w:rsidR="003E3F63">
        <w:t xml:space="preserve"> from a Greek word meaning “good news,” referring to the four books attributed to Matthew, Mark, Luke, and John</w:t>
      </w:r>
      <w:r w:rsidR="008B3316">
        <w:t>. The Gospels are the</w:t>
      </w:r>
      <w:r w:rsidR="003E3F63">
        <w:t xml:space="preserve"> principal source for accounts of Jesus Christ’s life and teaching and work of salvation.</w:t>
      </w:r>
    </w:p>
    <w:p w:rsidR="00CE0D26" w:rsidRPr="00A179C9" w:rsidRDefault="008B3316" w:rsidP="0033507C">
      <w:pPr>
        <w:pStyle w:val="body-firstpara"/>
        <w:spacing w:after="120"/>
      </w:pPr>
      <w:r>
        <w:rPr>
          <w:rStyle w:val="emphasis-bold"/>
        </w:rPr>
        <w:t>I</w:t>
      </w:r>
      <w:r w:rsidR="00C47DB4" w:rsidRPr="00A62481">
        <w:rPr>
          <w:rStyle w:val="emphasis-bold"/>
        </w:rPr>
        <w:t xml:space="preserve">nfancy </w:t>
      </w:r>
      <w:proofErr w:type="gramStart"/>
      <w:r>
        <w:rPr>
          <w:rStyle w:val="emphasis-bold"/>
        </w:rPr>
        <w:t>N</w:t>
      </w:r>
      <w:r w:rsidR="00C47DB4" w:rsidRPr="00A62481">
        <w:rPr>
          <w:rStyle w:val="emphasis-bold"/>
        </w:rPr>
        <w:t>arratives</w:t>
      </w:r>
      <w:r w:rsidR="00C47DB4">
        <w:rPr>
          <w:rStyle w:val="emphasis-bold"/>
        </w:rPr>
        <w:t xml:space="preserve"> </w:t>
      </w:r>
      <w:r w:rsidR="00A179C9">
        <w:rPr>
          <w:b/>
        </w:rPr>
        <w:t xml:space="preserve"> </w:t>
      </w:r>
      <w:r w:rsidR="00A179C9">
        <w:t>The</w:t>
      </w:r>
      <w:proofErr w:type="gramEnd"/>
      <w:r w:rsidR="00A179C9">
        <w:t xml:space="preserve"> accounts of Jesus’ birth and early childhood.</w:t>
      </w:r>
    </w:p>
    <w:p w:rsidR="00CE0D26" w:rsidRPr="00E47DBF" w:rsidRDefault="00CE0D26" w:rsidP="0033507C">
      <w:pPr>
        <w:pStyle w:val="body-firstpara"/>
        <w:spacing w:after="120"/>
      </w:pPr>
      <w:proofErr w:type="gramStart"/>
      <w:r w:rsidRPr="00A62481">
        <w:rPr>
          <w:rStyle w:val="emphasis-bold"/>
        </w:rPr>
        <w:t>Johannine</w:t>
      </w:r>
      <w:r w:rsidR="00C47DB4">
        <w:rPr>
          <w:rStyle w:val="emphasis-bold"/>
        </w:rPr>
        <w:t xml:space="preserve"> </w:t>
      </w:r>
      <w:r w:rsidR="00E47DBF">
        <w:rPr>
          <w:b/>
        </w:rPr>
        <w:t xml:space="preserve"> </w:t>
      </w:r>
      <w:r w:rsidR="00E47DBF">
        <w:t>Related</w:t>
      </w:r>
      <w:proofErr w:type="gramEnd"/>
      <w:r w:rsidR="00E47DBF">
        <w:t xml:space="preserve"> to the </w:t>
      </w:r>
      <w:r w:rsidR="008B3316">
        <w:t>Apostle John or the New Testament books attributed to him</w:t>
      </w:r>
      <w:r w:rsidR="00E47DBF">
        <w:t>.</w:t>
      </w:r>
    </w:p>
    <w:p w:rsidR="00CE0D26" w:rsidRPr="003E3F63" w:rsidRDefault="003C00CD" w:rsidP="0033507C">
      <w:pPr>
        <w:pStyle w:val="body-firstpara"/>
        <w:spacing w:after="120"/>
      </w:pPr>
      <w:proofErr w:type="gramStart"/>
      <w:r w:rsidRPr="003C00CD">
        <w:rPr>
          <w:rStyle w:val="emphasis-bold"/>
          <w:i/>
        </w:rPr>
        <w:t>kerygma</w:t>
      </w:r>
      <w:r w:rsidR="00C47DB4">
        <w:rPr>
          <w:rStyle w:val="emphasis-bold"/>
        </w:rPr>
        <w:t xml:space="preserve"> </w:t>
      </w:r>
      <w:r w:rsidR="003E3F63">
        <w:rPr>
          <w:b/>
          <w:i/>
        </w:rPr>
        <w:t xml:space="preserve"> </w:t>
      </w:r>
      <w:r w:rsidR="003E3F63">
        <w:t>A</w:t>
      </w:r>
      <w:proofErr w:type="gramEnd"/>
      <w:r w:rsidR="003E3F63">
        <w:t xml:space="preserve"> Greek word meaning “proclamation” or “preaching,” referring to the announcement of the Gospel or the Good News of divine salvation offered to all through Jesus Christ. </w:t>
      </w:r>
      <w:r w:rsidR="003E3F63">
        <w:rPr>
          <w:i/>
        </w:rPr>
        <w:t>Kerygma</w:t>
      </w:r>
      <w:r w:rsidR="003E3F63">
        <w:t xml:space="preserve"> has two senses. It is both an event </w:t>
      </w:r>
      <w:r w:rsidR="008B3316">
        <w:t xml:space="preserve">of </w:t>
      </w:r>
      <w:r w:rsidR="003E3F63">
        <w:t>proclamation and a message proclaimed.</w:t>
      </w:r>
    </w:p>
    <w:p w:rsidR="00E47DBF" w:rsidRPr="00A62481" w:rsidRDefault="003C00CD" w:rsidP="0033507C">
      <w:pPr>
        <w:pStyle w:val="body-firstpara"/>
        <w:spacing w:after="120"/>
      </w:pPr>
      <w:proofErr w:type="gramStart"/>
      <w:r w:rsidRPr="003C00CD">
        <w:rPr>
          <w:rStyle w:val="emphasis-bold"/>
          <w:i/>
        </w:rPr>
        <w:t>Logos</w:t>
      </w:r>
      <w:r w:rsidR="00C47DB4">
        <w:rPr>
          <w:rStyle w:val="emphasis-bold"/>
          <w:i/>
        </w:rPr>
        <w:t xml:space="preserve"> </w:t>
      </w:r>
      <w:r w:rsidR="00E47DBF">
        <w:rPr>
          <w:b/>
        </w:rPr>
        <w:t xml:space="preserve"> </w:t>
      </w:r>
      <w:r w:rsidR="00E47DBF">
        <w:t>A</w:t>
      </w:r>
      <w:proofErr w:type="gramEnd"/>
      <w:r w:rsidR="00E47DBF">
        <w:t xml:space="preserve"> Greek word meaning “Word.” </w:t>
      </w:r>
      <w:r w:rsidR="00E47DBF">
        <w:rPr>
          <w:i/>
        </w:rPr>
        <w:t>Logos</w:t>
      </w:r>
      <w:r w:rsidR="00E47DBF">
        <w:t xml:space="preserve"> is a title of Jesus Christ found in the Gospel of John that illuminates the relationship between the three </w:t>
      </w:r>
      <w:r w:rsidR="008B3316">
        <w:t xml:space="preserve">Divine </w:t>
      </w:r>
      <w:r w:rsidR="00E47DBF">
        <w:t>Persons of the Holy Trinity. (See John 1:1</w:t>
      </w:r>
      <w:proofErr w:type="gramStart"/>
      <w:r w:rsidR="00E47DBF">
        <w:t>,14</w:t>
      </w:r>
      <w:proofErr w:type="gramEnd"/>
      <w:r w:rsidR="00E47DBF">
        <w:t>.)</w:t>
      </w:r>
    </w:p>
    <w:p w:rsidR="00CE0D26" w:rsidRPr="003E3F63" w:rsidRDefault="00CE0D26" w:rsidP="0033507C">
      <w:pPr>
        <w:pStyle w:val="body-firstpara"/>
        <w:spacing w:after="120"/>
      </w:pPr>
      <w:proofErr w:type="gramStart"/>
      <w:r w:rsidRPr="00A62481">
        <w:rPr>
          <w:rStyle w:val="emphasis-bold"/>
        </w:rPr>
        <w:t>Matthean</w:t>
      </w:r>
      <w:r w:rsidR="00C47DB4">
        <w:rPr>
          <w:rStyle w:val="emphasis-bold"/>
        </w:rPr>
        <w:t xml:space="preserve"> </w:t>
      </w:r>
      <w:r w:rsidR="003E3F63">
        <w:rPr>
          <w:b/>
        </w:rPr>
        <w:t xml:space="preserve"> </w:t>
      </w:r>
      <w:r w:rsidR="003E3F63">
        <w:t>Related</w:t>
      </w:r>
      <w:proofErr w:type="gramEnd"/>
      <w:r w:rsidR="003E3F63">
        <w:t xml:space="preserve"> to the author of the Gospel</w:t>
      </w:r>
      <w:r w:rsidR="008B3316">
        <w:t xml:space="preserve"> of Matthew</w:t>
      </w:r>
      <w:r w:rsidR="003E3F63">
        <w:t>.</w:t>
      </w:r>
    </w:p>
    <w:p w:rsidR="00CE0D26" w:rsidRPr="003E3F63" w:rsidRDefault="003E3F63" w:rsidP="0033507C">
      <w:pPr>
        <w:pStyle w:val="body-firstpara"/>
        <w:spacing w:after="120"/>
      </w:pPr>
      <w:proofErr w:type="gramStart"/>
      <w:r w:rsidRPr="00A62481">
        <w:rPr>
          <w:rStyle w:val="emphasis-bold"/>
        </w:rPr>
        <w:t>m</w:t>
      </w:r>
      <w:r w:rsidR="00CE0D26" w:rsidRPr="00A62481">
        <w:rPr>
          <w:rStyle w:val="emphasis-bold"/>
        </w:rPr>
        <w:t>essianic</w:t>
      </w:r>
      <w:proofErr w:type="gramEnd"/>
      <w:r w:rsidR="00CE0D26" w:rsidRPr="00A62481">
        <w:rPr>
          <w:rStyle w:val="emphasis-bold"/>
        </w:rPr>
        <w:t xml:space="preserve"> secret</w:t>
      </w:r>
      <w:r w:rsidR="00C47DB4">
        <w:rPr>
          <w:rStyle w:val="emphasis-bold"/>
        </w:rPr>
        <w:t xml:space="preserve"> </w:t>
      </w:r>
      <w:r>
        <w:rPr>
          <w:b/>
        </w:rPr>
        <w:t xml:space="preserve"> </w:t>
      </w:r>
      <w:r>
        <w:t>A theme in the Gospel of Mark that portrays the disciples and others as recognizing Jesus’ identity as the Messiah. However, Jesus directed them not to tell anyone else.</w:t>
      </w:r>
    </w:p>
    <w:p w:rsidR="00CE0D26" w:rsidRPr="008B3316" w:rsidRDefault="00A179C9" w:rsidP="0033507C">
      <w:pPr>
        <w:pStyle w:val="body-firstpara"/>
        <w:spacing w:after="120"/>
        <w:rPr>
          <w:rFonts w:cs="Arial"/>
        </w:rPr>
      </w:pPr>
      <w:proofErr w:type="gramStart"/>
      <w:r w:rsidRPr="00A62481">
        <w:rPr>
          <w:rStyle w:val="emphasis-bold"/>
        </w:rPr>
        <w:t>m</w:t>
      </w:r>
      <w:r w:rsidR="00CE0D26" w:rsidRPr="00A62481">
        <w:rPr>
          <w:rStyle w:val="emphasis-bold"/>
        </w:rPr>
        <w:t>iracle</w:t>
      </w:r>
      <w:r w:rsidR="00C47DB4">
        <w:rPr>
          <w:rStyle w:val="emphasis-bold"/>
        </w:rPr>
        <w:t xml:space="preserve"> </w:t>
      </w:r>
      <w:r>
        <w:rPr>
          <w:b/>
        </w:rPr>
        <w:t xml:space="preserve"> </w:t>
      </w:r>
      <w:r w:rsidR="003C00CD" w:rsidRPr="003C00CD">
        <w:rPr>
          <w:rFonts w:cs="Arial"/>
        </w:rPr>
        <w:t>Signs</w:t>
      </w:r>
      <w:proofErr w:type="gramEnd"/>
      <w:r w:rsidR="003C00CD" w:rsidRPr="003C00CD">
        <w:rPr>
          <w:rFonts w:cs="Arial"/>
        </w:rPr>
        <w:t xml:space="preserve"> or wonders, such as healing or the control of nature, that can only be attributed to divine power.</w:t>
      </w:r>
    </w:p>
    <w:p w:rsidR="00CE0D26" w:rsidRPr="008B3316" w:rsidRDefault="00A179C9" w:rsidP="0033507C">
      <w:pPr>
        <w:pStyle w:val="body-firstpara"/>
        <w:spacing w:after="120"/>
        <w:rPr>
          <w:rFonts w:cs="Arial"/>
        </w:rPr>
      </w:pPr>
      <w:proofErr w:type="gramStart"/>
      <w:r w:rsidRPr="00A62481">
        <w:rPr>
          <w:rStyle w:val="emphasis-bold"/>
        </w:rPr>
        <w:t>p</w:t>
      </w:r>
      <w:r w:rsidR="00CE0D26" w:rsidRPr="00A62481">
        <w:rPr>
          <w:rStyle w:val="emphasis-bold"/>
        </w:rPr>
        <w:t>arables</w:t>
      </w:r>
      <w:r w:rsidR="008B3316">
        <w:rPr>
          <w:rStyle w:val="emphasis-bold"/>
        </w:rPr>
        <w:t xml:space="preserve"> </w:t>
      </w:r>
      <w:r>
        <w:rPr>
          <w:b/>
        </w:rPr>
        <w:t xml:space="preserve"> </w:t>
      </w:r>
      <w:r w:rsidRPr="008B3316">
        <w:rPr>
          <w:rFonts w:cs="Arial"/>
        </w:rPr>
        <w:t>Short</w:t>
      </w:r>
      <w:proofErr w:type="gramEnd"/>
      <w:r w:rsidRPr="008B3316">
        <w:rPr>
          <w:rFonts w:cs="Arial"/>
        </w:rPr>
        <w:t xml:space="preserve"> stories that use everyday images to communicate religious messages.</w:t>
      </w:r>
      <w:r w:rsidR="008B3316" w:rsidRPr="008B3316">
        <w:rPr>
          <w:rFonts w:cs="Arial"/>
        </w:rPr>
        <w:t xml:space="preserve"> </w:t>
      </w:r>
      <w:r w:rsidR="003C00CD" w:rsidRPr="003C00CD">
        <w:rPr>
          <w:rFonts w:cs="Arial"/>
        </w:rPr>
        <w:t>Jesus used parables frequently in his teaching as a way of presenting the Good News of salvation.</w:t>
      </w:r>
    </w:p>
    <w:p w:rsidR="00CE0D26" w:rsidRPr="00E47DBF" w:rsidRDefault="00CE0D26" w:rsidP="0033507C">
      <w:pPr>
        <w:pStyle w:val="body-firstpara"/>
        <w:spacing w:after="120"/>
      </w:pPr>
      <w:r w:rsidRPr="00A62481">
        <w:rPr>
          <w:rStyle w:val="emphasis-bold"/>
        </w:rPr>
        <w:t xml:space="preserve">Pauline </w:t>
      </w:r>
      <w:proofErr w:type="gramStart"/>
      <w:r w:rsidRPr="00A62481">
        <w:rPr>
          <w:rStyle w:val="emphasis-bold"/>
        </w:rPr>
        <w:t>letters</w:t>
      </w:r>
      <w:r w:rsidR="00C47DB4">
        <w:rPr>
          <w:rStyle w:val="emphasis-bold"/>
        </w:rPr>
        <w:t xml:space="preserve"> </w:t>
      </w:r>
      <w:r w:rsidR="00E47DBF">
        <w:rPr>
          <w:b/>
        </w:rPr>
        <w:t xml:space="preserve"> </w:t>
      </w:r>
      <w:r w:rsidR="00E47DBF">
        <w:t>Thirteen</w:t>
      </w:r>
      <w:proofErr w:type="gramEnd"/>
      <w:r w:rsidR="00E47DBF">
        <w:t xml:space="preserve"> New Testament letters attributed to Saint Paul or to disciples who wrote in his name. The letters offer advice, pastoral encouragement, teaching, and community news to early Christian communities.</w:t>
      </w:r>
    </w:p>
    <w:p w:rsidR="00CE0D26" w:rsidRPr="003E3F63" w:rsidRDefault="00CE0D26" w:rsidP="0033507C">
      <w:pPr>
        <w:pStyle w:val="body-firstpara"/>
        <w:spacing w:after="120"/>
      </w:pPr>
      <w:proofErr w:type="gramStart"/>
      <w:r w:rsidRPr="00A62481">
        <w:rPr>
          <w:rStyle w:val="emphasis-bold"/>
        </w:rPr>
        <w:lastRenderedPageBreak/>
        <w:t>Quelle</w:t>
      </w:r>
      <w:r w:rsidR="00C47DB4">
        <w:rPr>
          <w:rStyle w:val="emphasis-bold"/>
        </w:rPr>
        <w:t xml:space="preserve"> </w:t>
      </w:r>
      <w:r w:rsidR="003E3F63">
        <w:rPr>
          <w:b/>
        </w:rPr>
        <w:t xml:space="preserve"> </w:t>
      </w:r>
      <w:r w:rsidR="003E3F63">
        <w:t>Also</w:t>
      </w:r>
      <w:proofErr w:type="gramEnd"/>
      <w:r w:rsidR="003E3F63">
        <w:t xml:space="preserve"> called the Q source, a theoretical collection of ancient documents of the teachings of Jesus shared among the early followers of Christianity</w:t>
      </w:r>
      <w:r w:rsidR="003C00CD" w:rsidRPr="003C00CD">
        <w:rPr>
          <w:rFonts w:cs="Arial"/>
        </w:rPr>
        <w:t>; believed by Scripture scholars to be a source for the Gospels of Matthew and Luke.</w:t>
      </w:r>
    </w:p>
    <w:p w:rsidR="00CE0D26" w:rsidRPr="00E47DBF" w:rsidRDefault="00E47DBF" w:rsidP="0033507C">
      <w:pPr>
        <w:pStyle w:val="body-firstpara"/>
        <w:spacing w:after="120"/>
      </w:pPr>
      <w:proofErr w:type="gramStart"/>
      <w:r w:rsidRPr="00A62481">
        <w:rPr>
          <w:rStyle w:val="emphasis-bold"/>
        </w:rPr>
        <w:t>s</w:t>
      </w:r>
      <w:r w:rsidR="00CE0D26" w:rsidRPr="00A62481">
        <w:rPr>
          <w:rStyle w:val="emphasis-bold"/>
        </w:rPr>
        <w:t>ign</w:t>
      </w:r>
      <w:r w:rsidR="008B3316">
        <w:rPr>
          <w:rStyle w:val="emphasis-bold"/>
        </w:rPr>
        <w:t xml:space="preserve"> </w:t>
      </w:r>
      <w:r>
        <w:rPr>
          <w:b/>
        </w:rPr>
        <w:t xml:space="preserve"> </w:t>
      </w:r>
      <w:r>
        <w:t>The</w:t>
      </w:r>
      <w:proofErr w:type="gramEnd"/>
      <w:r>
        <w:t xml:space="preserve"> Johannine name for a miracle of Jesus.</w:t>
      </w:r>
    </w:p>
    <w:p w:rsidR="00CE0D26" w:rsidRPr="003E3F63" w:rsidRDefault="00CE0D26" w:rsidP="00B602AD">
      <w:pPr>
        <w:pStyle w:val="body-firstpara"/>
        <w:spacing w:after="240"/>
      </w:pPr>
      <w:proofErr w:type="gramStart"/>
      <w:r w:rsidRPr="00A62481">
        <w:rPr>
          <w:rStyle w:val="emphasis-bold"/>
        </w:rPr>
        <w:t>synoptic</w:t>
      </w:r>
      <w:proofErr w:type="gramEnd"/>
      <w:r w:rsidRPr="00A62481">
        <w:rPr>
          <w:rStyle w:val="emphasis-bold"/>
        </w:rPr>
        <w:t xml:space="preserve"> Gospels</w:t>
      </w:r>
      <w:r w:rsidR="00C47DB4">
        <w:rPr>
          <w:rStyle w:val="emphasis-bold"/>
        </w:rPr>
        <w:t xml:space="preserve"> </w:t>
      </w:r>
      <w:r w:rsidR="003E3F63">
        <w:rPr>
          <w:b/>
        </w:rPr>
        <w:t xml:space="preserve"> </w:t>
      </w:r>
      <w:r w:rsidR="003E3F63">
        <w:t>From the Greek for “seeing the whole together,” the name given to the Gospels of Matthew, Mark, and Luke, because they are similar in style and content.</w:t>
      </w:r>
    </w:p>
    <w:p w:rsidR="00CE0D26" w:rsidRDefault="00CE0D26" w:rsidP="00A62481">
      <w:pPr>
        <w:pStyle w:val="h2a"/>
      </w:pPr>
      <w:r w:rsidRPr="00572509">
        <w:t>Terms Introduced for Later Mastery</w:t>
      </w:r>
    </w:p>
    <w:p w:rsidR="00CE0D26" w:rsidRPr="008B3316" w:rsidRDefault="00CE0D26" w:rsidP="0033507C">
      <w:pPr>
        <w:pStyle w:val="body-firstpara"/>
        <w:spacing w:after="120"/>
        <w:rPr>
          <w:rFonts w:cs="Arial"/>
        </w:rPr>
      </w:pPr>
      <w:proofErr w:type="gramStart"/>
      <w:r w:rsidRPr="008B3316">
        <w:rPr>
          <w:rStyle w:val="emphasis-bold"/>
          <w:rFonts w:cs="Arial"/>
        </w:rPr>
        <w:t>Paraclete</w:t>
      </w:r>
      <w:r w:rsidR="00C47DB4" w:rsidRPr="008B3316">
        <w:rPr>
          <w:rStyle w:val="emphasis-bold"/>
          <w:rFonts w:cs="Arial"/>
        </w:rPr>
        <w:t xml:space="preserve"> </w:t>
      </w:r>
      <w:r w:rsidR="00E47DBF" w:rsidRPr="008B3316">
        <w:rPr>
          <w:rFonts w:cs="Arial"/>
          <w:b/>
        </w:rPr>
        <w:t xml:space="preserve"> </w:t>
      </w:r>
      <w:r w:rsidR="003C00CD" w:rsidRPr="003C00CD">
        <w:rPr>
          <w:rFonts w:cs="Arial"/>
        </w:rPr>
        <w:t>A</w:t>
      </w:r>
      <w:proofErr w:type="gramEnd"/>
      <w:r w:rsidR="003C00CD" w:rsidRPr="003C00CD">
        <w:rPr>
          <w:rFonts w:cs="Arial"/>
        </w:rPr>
        <w:t xml:space="preserve"> term meaning “advocate” or “helper,” used in the Gospel of John to describe the Holy Spirit, the Third Divine Person of the Trinity, whom Jesus promised to the disciples as an advocate and counselor.</w:t>
      </w:r>
    </w:p>
    <w:p w:rsidR="00CE0D26" w:rsidRPr="003E3F63" w:rsidRDefault="00CE0D26" w:rsidP="0033507C">
      <w:pPr>
        <w:pStyle w:val="body-firstpara"/>
        <w:spacing w:after="120"/>
      </w:pPr>
      <w:r w:rsidRPr="008B3316">
        <w:rPr>
          <w:rStyle w:val="emphasis-bold"/>
          <w:rFonts w:cs="Arial"/>
        </w:rPr>
        <w:t>Paschal Lamb</w:t>
      </w:r>
      <w:r w:rsidR="00C47DB4" w:rsidRPr="008B3316">
        <w:rPr>
          <w:rStyle w:val="emphasis-bold"/>
          <w:rFonts w:cs="Arial"/>
        </w:rPr>
        <w:t xml:space="preserve"> </w:t>
      </w:r>
      <w:r w:rsidR="003E3F63" w:rsidRPr="008B3316">
        <w:rPr>
          <w:rFonts w:cs="Arial"/>
          <w:b/>
        </w:rPr>
        <w:t xml:space="preserve"> </w:t>
      </w:r>
      <w:r w:rsidR="003E3F63" w:rsidRPr="008B3316">
        <w:rPr>
          <w:rFonts w:cs="Arial"/>
        </w:rPr>
        <w:t>In the Old Testament, the</w:t>
      </w:r>
      <w:r w:rsidR="003E3F63">
        <w:t xml:space="preserve"> sacrificial lamb shared at the seder meal of the Passover on the night the Israelites escaped from Egypt; in the New Testament, the Paschal Lamb is Jesus, the Incarnate Son of God who dies on a cross to take away “the sin of the world” (John 1:29).</w:t>
      </w:r>
    </w:p>
    <w:p w:rsidR="00CE0D26" w:rsidRPr="003E3F63" w:rsidRDefault="00CE0D26" w:rsidP="0033507C">
      <w:pPr>
        <w:pStyle w:val="body-firstpara"/>
        <w:spacing w:after="120"/>
      </w:pPr>
      <w:proofErr w:type="gramStart"/>
      <w:r w:rsidRPr="00A62481">
        <w:rPr>
          <w:rStyle w:val="emphasis-bold"/>
        </w:rPr>
        <w:t>Passion</w:t>
      </w:r>
      <w:r w:rsidR="00C47DB4">
        <w:rPr>
          <w:rStyle w:val="emphasis-bold"/>
        </w:rPr>
        <w:t xml:space="preserve"> </w:t>
      </w:r>
      <w:r w:rsidR="003E3F63">
        <w:rPr>
          <w:b/>
        </w:rPr>
        <w:t xml:space="preserve"> </w:t>
      </w:r>
      <w:r w:rsidR="003E3F63">
        <w:t>The</w:t>
      </w:r>
      <w:proofErr w:type="gramEnd"/>
      <w:r w:rsidR="003E3F63">
        <w:t xml:space="preserve"> sufferings of Jesus during the final days of this life: his agony in the garden </w:t>
      </w:r>
      <w:r w:rsidR="008B3316">
        <w:t xml:space="preserve">at </w:t>
      </w:r>
      <w:r w:rsidR="003E3F63">
        <w:t>Gethsemane, his trial, and his Crucifixion.</w:t>
      </w:r>
    </w:p>
    <w:p w:rsidR="00CE0D26" w:rsidRPr="00E47DBF" w:rsidRDefault="00CE0D26" w:rsidP="00B602AD">
      <w:pPr>
        <w:pStyle w:val="body-firstpara"/>
        <w:spacing w:after="240"/>
      </w:pPr>
      <w:proofErr w:type="gramStart"/>
      <w:r w:rsidRPr="00A62481">
        <w:rPr>
          <w:rStyle w:val="emphasis-bold"/>
        </w:rPr>
        <w:t>Pentecost</w:t>
      </w:r>
      <w:r w:rsidR="00C47DB4">
        <w:rPr>
          <w:rStyle w:val="emphasis-bold"/>
        </w:rPr>
        <w:t xml:space="preserve"> </w:t>
      </w:r>
      <w:r w:rsidR="00E47DBF">
        <w:rPr>
          <w:b/>
        </w:rPr>
        <w:t xml:space="preserve"> </w:t>
      </w:r>
      <w:r w:rsidR="00E47DBF">
        <w:t>The</w:t>
      </w:r>
      <w:proofErr w:type="gramEnd"/>
      <w:r w:rsidR="00E47DBF">
        <w:t xml:space="preserve"> fiftieth day following Easter, which commemorates the descent of the Holy Spirit on the early Apostles and disciples.</w:t>
      </w:r>
    </w:p>
    <w:p w:rsidR="00CE0D26" w:rsidRDefault="00CE0D26" w:rsidP="00A62481">
      <w:pPr>
        <w:pStyle w:val="h2a"/>
      </w:pPr>
      <w:r>
        <w:t xml:space="preserve">Terms </w:t>
      </w:r>
      <w:r w:rsidR="00AD09BC">
        <w:t xml:space="preserve">Previously Mastered </w:t>
      </w:r>
      <w:r w:rsidR="00B602AD">
        <w:br/>
      </w:r>
      <w:r>
        <w:t xml:space="preserve">or </w:t>
      </w:r>
      <w:r w:rsidR="00B602AD">
        <w:t xml:space="preserve">for </w:t>
      </w:r>
      <w:r>
        <w:t>General Knowledge</w:t>
      </w:r>
    </w:p>
    <w:p w:rsidR="00CE0D26" w:rsidRPr="00A62481" w:rsidRDefault="003C00CD" w:rsidP="0033507C">
      <w:pPr>
        <w:pStyle w:val="body-firstpara"/>
        <w:spacing w:after="120"/>
      </w:pPr>
      <w:proofErr w:type="gramStart"/>
      <w:r w:rsidRPr="003C00CD">
        <w:rPr>
          <w:rStyle w:val="emphasis-bold"/>
          <w:i/>
        </w:rPr>
        <w:t>anawim</w:t>
      </w:r>
      <w:r w:rsidR="00C47DB4">
        <w:rPr>
          <w:rStyle w:val="emphasis-bold"/>
        </w:rPr>
        <w:t xml:space="preserve"> </w:t>
      </w:r>
      <w:r w:rsidR="00A179C9">
        <w:rPr>
          <w:b/>
          <w:i/>
        </w:rPr>
        <w:t xml:space="preserve"> </w:t>
      </w:r>
      <w:r w:rsidR="00A179C9">
        <w:t>A</w:t>
      </w:r>
      <w:proofErr w:type="gramEnd"/>
      <w:r w:rsidR="00A179C9">
        <w:t xml:space="preserve"> Hebrew word for the poor and marginalized.</w:t>
      </w:r>
    </w:p>
    <w:p w:rsidR="00CE0D26" w:rsidRPr="00A40724" w:rsidRDefault="00CE0D26" w:rsidP="0033507C">
      <w:pPr>
        <w:pStyle w:val="body-firstpara"/>
        <w:spacing w:after="120"/>
      </w:pPr>
      <w:proofErr w:type="gramStart"/>
      <w:r w:rsidRPr="00A62481">
        <w:rPr>
          <w:b/>
        </w:rPr>
        <w:t>Annunciation</w:t>
      </w:r>
      <w:r w:rsidR="00C47DB4">
        <w:rPr>
          <w:b/>
        </w:rPr>
        <w:t xml:space="preserve"> </w:t>
      </w:r>
      <w:r w:rsidR="00A179C9">
        <w:rPr>
          <w:b/>
        </w:rPr>
        <w:t xml:space="preserve"> </w:t>
      </w:r>
      <w:r w:rsidR="008B3316" w:rsidRPr="00A40724">
        <w:t>The</w:t>
      </w:r>
      <w:proofErr w:type="gramEnd"/>
      <w:r w:rsidR="008B3316" w:rsidRPr="00A40724">
        <w:t xml:space="preserve"> biblical event in which the Archangel Gabriel visits the Virgin Mary to announce that she is to be the Mother of the Savior.</w:t>
      </w:r>
    </w:p>
    <w:p w:rsidR="00CE0D26" w:rsidRPr="00E47DBF" w:rsidRDefault="00E47DBF" w:rsidP="0033507C">
      <w:pPr>
        <w:pStyle w:val="body-firstpara"/>
        <w:spacing w:after="120"/>
      </w:pPr>
      <w:r w:rsidRPr="00A62481">
        <w:rPr>
          <w:rStyle w:val="emphasis-bold"/>
        </w:rPr>
        <w:t>a</w:t>
      </w:r>
      <w:r w:rsidR="00CE0D26" w:rsidRPr="00A62481">
        <w:rPr>
          <w:rStyle w:val="emphasis-bold"/>
        </w:rPr>
        <w:t>ntichrist</w:t>
      </w:r>
      <w:r w:rsidR="00C47DB4">
        <w:rPr>
          <w:rStyle w:val="emphasis-bold"/>
        </w:rPr>
        <w:t xml:space="preserve"> </w:t>
      </w:r>
      <w:r>
        <w:rPr>
          <w:b/>
        </w:rPr>
        <w:t xml:space="preserve"> </w:t>
      </w:r>
      <w:r>
        <w:t>A pseudo-</w:t>
      </w:r>
      <w:r w:rsidR="00B602AD">
        <w:t>m</w:t>
      </w:r>
      <w:r>
        <w:t>essianism whereby a human being puts himself or herself in the place of God or declared himself or herself to be a new messiah.</w:t>
      </w:r>
    </w:p>
    <w:p w:rsidR="00CE0D26" w:rsidRPr="00E47DBF" w:rsidRDefault="00E47DBF" w:rsidP="0033507C">
      <w:pPr>
        <w:pStyle w:val="body-firstpara"/>
        <w:spacing w:after="120"/>
      </w:pPr>
      <w:proofErr w:type="gramStart"/>
      <w:r w:rsidRPr="00A62481">
        <w:rPr>
          <w:rStyle w:val="emphasis-bold"/>
        </w:rPr>
        <w:t>a</w:t>
      </w:r>
      <w:r w:rsidR="00CE0D26" w:rsidRPr="00A62481">
        <w:rPr>
          <w:rStyle w:val="emphasis-bold"/>
        </w:rPr>
        <w:t>postate</w:t>
      </w:r>
      <w:r w:rsidR="00C47DB4">
        <w:rPr>
          <w:rStyle w:val="emphasis-bold"/>
        </w:rPr>
        <w:t xml:space="preserve"> </w:t>
      </w:r>
      <w:r>
        <w:rPr>
          <w:b/>
        </w:rPr>
        <w:t xml:space="preserve"> </w:t>
      </w:r>
      <w:r>
        <w:t>A</w:t>
      </w:r>
      <w:proofErr w:type="gramEnd"/>
      <w:r>
        <w:t xml:space="preserve"> person who was a believer but has abandoned his or her faith.</w:t>
      </w:r>
    </w:p>
    <w:p w:rsidR="00CE0D26" w:rsidRPr="00E47DBF" w:rsidRDefault="00CE0D26" w:rsidP="0033507C">
      <w:pPr>
        <w:pStyle w:val="body-firstpara"/>
        <w:spacing w:after="120"/>
      </w:pPr>
      <w:r w:rsidRPr="00A62481">
        <w:rPr>
          <w:rStyle w:val="emphasis-bold"/>
        </w:rPr>
        <w:t xml:space="preserve">Asia </w:t>
      </w:r>
      <w:proofErr w:type="gramStart"/>
      <w:r w:rsidRPr="00A62481">
        <w:rPr>
          <w:rStyle w:val="emphasis-bold"/>
        </w:rPr>
        <w:t>Minor</w:t>
      </w:r>
      <w:r w:rsidR="00C47DB4">
        <w:rPr>
          <w:rStyle w:val="emphasis-bold"/>
        </w:rPr>
        <w:t xml:space="preserve"> </w:t>
      </w:r>
      <w:r w:rsidR="00E47DBF">
        <w:rPr>
          <w:b/>
        </w:rPr>
        <w:t xml:space="preserve"> </w:t>
      </w:r>
      <w:r w:rsidR="00E47DBF">
        <w:t>An</w:t>
      </w:r>
      <w:proofErr w:type="gramEnd"/>
      <w:r w:rsidR="00E47DBF">
        <w:t xml:space="preserve"> area corresponding roughly to modern-day Turkey.</w:t>
      </w:r>
    </w:p>
    <w:p w:rsidR="00CE0D26" w:rsidRPr="00A179C9" w:rsidRDefault="00A179C9" w:rsidP="0033507C">
      <w:pPr>
        <w:pStyle w:val="body-firstpara"/>
        <w:spacing w:after="120"/>
      </w:pPr>
      <w:proofErr w:type="gramStart"/>
      <w:r w:rsidRPr="00A62481">
        <w:rPr>
          <w:rStyle w:val="emphasis-bold"/>
        </w:rPr>
        <w:t>c</w:t>
      </w:r>
      <w:r w:rsidR="00CE0D26" w:rsidRPr="00A62481">
        <w:rPr>
          <w:rStyle w:val="emphasis-bold"/>
        </w:rPr>
        <w:t>anticle</w:t>
      </w:r>
      <w:r w:rsidR="00C47DB4">
        <w:rPr>
          <w:rStyle w:val="emphasis-bold"/>
        </w:rPr>
        <w:t xml:space="preserve"> </w:t>
      </w:r>
      <w:r>
        <w:rPr>
          <w:b/>
        </w:rPr>
        <w:t xml:space="preserve"> </w:t>
      </w:r>
      <w:r>
        <w:t>From</w:t>
      </w:r>
      <w:proofErr w:type="gramEnd"/>
      <w:r>
        <w:t xml:space="preserve"> the </w:t>
      </w:r>
      <w:r w:rsidR="0044529D">
        <w:t>Latin</w:t>
      </w:r>
      <w:r>
        <w:t xml:space="preserve"> </w:t>
      </w:r>
      <w:r>
        <w:rPr>
          <w:i/>
        </w:rPr>
        <w:t>canticum</w:t>
      </w:r>
      <w:r>
        <w:t>, meaning “song.” It usually refers to biblical hymns (other than the Psalms), such as those found in the Song of Solomon in the Old Testament and the hymns of Mary (see Luke 1:46</w:t>
      </w:r>
      <w:r w:rsidR="00C47DB4">
        <w:t>–</w:t>
      </w:r>
      <w:r>
        <w:t>55) and Zechariah (see Luke 1:68</w:t>
      </w:r>
      <w:r w:rsidR="00C47DB4">
        <w:t>–</w:t>
      </w:r>
      <w:r>
        <w:t xml:space="preserve">79) in the New Testament. By extension, </w:t>
      </w:r>
      <w:r>
        <w:rPr>
          <w:i/>
        </w:rPr>
        <w:t>canticle</w:t>
      </w:r>
      <w:r>
        <w:t xml:space="preserve"> is sometimes used to describe other hymns in the liturgy.</w:t>
      </w:r>
    </w:p>
    <w:p w:rsidR="00CE0D26" w:rsidRPr="00A179C9" w:rsidRDefault="00A179C9" w:rsidP="0033507C">
      <w:pPr>
        <w:pStyle w:val="body-firstpara"/>
        <w:spacing w:after="120"/>
      </w:pPr>
      <w:proofErr w:type="gramStart"/>
      <w:r w:rsidRPr="00A62481">
        <w:rPr>
          <w:rStyle w:val="emphasis-bold"/>
        </w:rPr>
        <w:t>c</w:t>
      </w:r>
      <w:r w:rsidR="00CE0D26" w:rsidRPr="00A62481">
        <w:rPr>
          <w:rStyle w:val="emphasis-bold"/>
        </w:rPr>
        <w:t>orruption</w:t>
      </w:r>
      <w:r w:rsidR="00C47DB4">
        <w:rPr>
          <w:rStyle w:val="emphasis-bold"/>
        </w:rPr>
        <w:t xml:space="preserve"> </w:t>
      </w:r>
      <w:r>
        <w:rPr>
          <w:b/>
        </w:rPr>
        <w:t xml:space="preserve"> </w:t>
      </w:r>
      <w:r w:rsidR="00E47DBF">
        <w:t>Decomposition</w:t>
      </w:r>
      <w:proofErr w:type="gramEnd"/>
      <w:r w:rsidR="00E47DBF">
        <w:t xml:space="preserve"> or decay.</w:t>
      </w:r>
    </w:p>
    <w:p w:rsidR="00CE0D26" w:rsidRPr="00A179C9" w:rsidRDefault="00CE0D26" w:rsidP="0033507C">
      <w:pPr>
        <w:pStyle w:val="body-firstpara"/>
        <w:spacing w:after="120"/>
      </w:pPr>
      <w:proofErr w:type="gramStart"/>
      <w:r w:rsidRPr="00A62481">
        <w:rPr>
          <w:rStyle w:val="emphasis-bold"/>
        </w:rPr>
        <w:t>garden</w:t>
      </w:r>
      <w:proofErr w:type="gramEnd"/>
      <w:r w:rsidRPr="00A62481">
        <w:rPr>
          <w:rStyle w:val="emphasis-bold"/>
        </w:rPr>
        <w:t xml:space="preserve"> at Gethsemane</w:t>
      </w:r>
      <w:r w:rsidR="00C47DB4">
        <w:rPr>
          <w:rStyle w:val="emphasis-bold"/>
        </w:rPr>
        <w:t xml:space="preserve"> </w:t>
      </w:r>
      <w:r w:rsidR="00A179C9">
        <w:rPr>
          <w:b/>
        </w:rPr>
        <w:t xml:space="preserve"> </w:t>
      </w:r>
      <w:r w:rsidR="00A179C9">
        <w:t xml:space="preserve">An olive grove near the Mount of Olives, where </w:t>
      </w:r>
      <w:r w:rsidR="008B3316">
        <w:t>J</w:t>
      </w:r>
      <w:r w:rsidR="00A179C9">
        <w:t>esus gathered with the Apostles to pray and prepare for his Crucifixion on Calvary.</w:t>
      </w:r>
    </w:p>
    <w:p w:rsidR="00CE0D26" w:rsidRPr="003E3F63" w:rsidRDefault="00CE0D26" w:rsidP="0033507C">
      <w:pPr>
        <w:pStyle w:val="body-firstpara"/>
        <w:spacing w:after="120"/>
      </w:pPr>
      <w:proofErr w:type="gramStart"/>
      <w:r w:rsidRPr="00A62481">
        <w:rPr>
          <w:rStyle w:val="emphasis-bold"/>
        </w:rPr>
        <w:lastRenderedPageBreak/>
        <w:t>Gentiles</w:t>
      </w:r>
      <w:r w:rsidR="00C47DB4">
        <w:rPr>
          <w:rStyle w:val="emphasis-bold"/>
        </w:rPr>
        <w:t xml:space="preserve"> </w:t>
      </w:r>
      <w:r w:rsidR="003E3F63">
        <w:rPr>
          <w:b/>
        </w:rPr>
        <w:t xml:space="preserve"> </w:t>
      </w:r>
      <w:r w:rsidR="003E3F63">
        <w:t>Non</w:t>
      </w:r>
      <w:proofErr w:type="gramEnd"/>
      <w:r w:rsidR="003E3F63">
        <w:t>-Jewish people.</w:t>
      </w:r>
    </w:p>
    <w:p w:rsidR="00CE0D26" w:rsidRPr="00E47DBF" w:rsidRDefault="00CE0D26" w:rsidP="0033507C">
      <w:pPr>
        <w:pStyle w:val="body-firstpara"/>
        <w:spacing w:after="120"/>
      </w:pPr>
      <w:proofErr w:type="gramStart"/>
      <w:r w:rsidRPr="00A62481">
        <w:rPr>
          <w:rStyle w:val="emphasis-bold"/>
        </w:rPr>
        <w:t>Gnosticism</w:t>
      </w:r>
      <w:r w:rsidR="00C47DB4">
        <w:rPr>
          <w:rStyle w:val="emphasis-bold"/>
        </w:rPr>
        <w:t xml:space="preserve"> </w:t>
      </w:r>
      <w:r w:rsidR="00E47DBF">
        <w:rPr>
          <w:b/>
        </w:rPr>
        <w:t xml:space="preserve"> </w:t>
      </w:r>
      <w:r w:rsidR="00E47DBF">
        <w:t>A</w:t>
      </w:r>
      <w:proofErr w:type="gramEnd"/>
      <w:r w:rsidR="00E47DBF">
        <w:t xml:space="preserve"> group of heretical religious movements that claimed salvation comes from secret knowledge available only to the elite initiated in that religion.</w:t>
      </w:r>
    </w:p>
    <w:p w:rsidR="00CE0D26" w:rsidRPr="00A179C9" w:rsidRDefault="00CE0D26" w:rsidP="0033507C">
      <w:pPr>
        <w:pStyle w:val="body-firstpara"/>
        <w:spacing w:after="120"/>
      </w:pPr>
      <w:proofErr w:type="gramStart"/>
      <w:r w:rsidRPr="00A62481">
        <w:rPr>
          <w:rStyle w:val="emphasis-bold"/>
        </w:rPr>
        <w:t>Golgotha</w:t>
      </w:r>
      <w:r w:rsidR="00C47DB4">
        <w:rPr>
          <w:rStyle w:val="emphasis-bold"/>
        </w:rPr>
        <w:t xml:space="preserve"> </w:t>
      </w:r>
      <w:r w:rsidR="00A179C9">
        <w:rPr>
          <w:b/>
        </w:rPr>
        <w:t xml:space="preserve"> </w:t>
      </w:r>
      <w:r w:rsidR="00A179C9">
        <w:t>A</w:t>
      </w:r>
      <w:proofErr w:type="gramEnd"/>
      <w:r w:rsidR="00A179C9">
        <w:t xml:space="preserve"> Hebrew word meaning “place of the skull,” referring to the place where Jesus was crucified.</w:t>
      </w:r>
    </w:p>
    <w:p w:rsidR="00CE0D26" w:rsidRPr="008B3316" w:rsidRDefault="00CE0D26" w:rsidP="0033507C">
      <w:pPr>
        <w:pStyle w:val="body-firstpara"/>
        <w:spacing w:after="120"/>
        <w:rPr>
          <w:rFonts w:cs="Arial"/>
        </w:rPr>
      </w:pPr>
      <w:proofErr w:type="gramStart"/>
      <w:r w:rsidRPr="00A62481">
        <w:rPr>
          <w:rStyle w:val="emphasis-bold"/>
        </w:rPr>
        <w:t>Magi</w:t>
      </w:r>
      <w:r w:rsidR="00C47DB4">
        <w:rPr>
          <w:rStyle w:val="emphasis-bold"/>
        </w:rPr>
        <w:t xml:space="preserve"> </w:t>
      </w:r>
      <w:r w:rsidR="003E3F63">
        <w:rPr>
          <w:b/>
        </w:rPr>
        <w:t xml:space="preserve"> </w:t>
      </w:r>
      <w:r w:rsidR="003C00CD" w:rsidRPr="003C00CD">
        <w:rPr>
          <w:rFonts w:cs="Arial"/>
        </w:rPr>
        <w:t>From</w:t>
      </w:r>
      <w:proofErr w:type="gramEnd"/>
      <w:r w:rsidR="003C00CD" w:rsidRPr="003C00CD">
        <w:rPr>
          <w:rFonts w:cs="Arial"/>
        </w:rPr>
        <w:t xml:space="preserve"> the Greek for “priest” or “learned one,” refers to the wise men from the East who visited the newborn Jesus in Bethlehem.</w:t>
      </w:r>
    </w:p>
    <w:p w:rsidR="00CE0D26" w:rsidRPr="00A62481" w:rsidRDefault="003C00CD" w:rsidP="0033507C">
      <w:pPr>
        <w:pStyle w:val="body-firstpara"/>
        <w:spacing w:after="120"/>
      </w:pPr>
      <w:r w:rsidRPr="003C00CD">
        <w:rPr>
          <w:rStyle w:val="emphasis-bold"/>
          <w:i/>
        </w:rPr>
        <w:t>Magnificat</w:t>
      </w:r>
      <w:r w:rsidR="00C47DB4">
        <w:rPr>
          <w:rStyle w:val="emphasis-bold"/>
        </w:rPr>
        <w:t xml:space="preserve"> </w:t>
      </w:r>
      <w:r w:rsidR="00A179C9">
        <w:rPr>
          <w:b/>
        </w:rPr>
        <w:t xml:space="preserve"> </w:t>
      </w:r>
      <w:r w:rsidR="00A179C9">
        <w:t xml:space="preserve">This is the first Latin word (from </w:t>
      </w:r>
      <w:r w:rsidR="00A179C9">
        <w:rPr>
          <w:i/>
        </w:rPr>
        <w:t>magnus</w:t>
      </w:r>
      <w:r w:rsidR="00A179C9">
        <w:t xml:space="preserve">, meaning “great,” and </w:t>
      </w:r>
      <w:r w:rsidR="00A179C9">
        <w:rPr>
          <w:i/>
        </w:rPr>
        <w:t>facere</w:t>
      </w:r>
      <w:r w:rsidR="00A179C9">
        <w:t>, meaning “to make”) and the title of the prayer of Mary in response to the Annunciation of the birth of Jesus in the Gospel of Luke (see Luke 1:46</w:t>
      </w:r>
      <w:r w:rsidR="00C47DB4">
        <w:t>–</w:t>
      </w:r>
      <w:r w:rsidR="00A179C9">
        <w:t>55).</w:t>
      </w:r>
    </w:p>
    <w:p w:rsidR="00CE0D26" w:rsidRPr="00E47DBF" w:rsidRDefault="00E47DBF" w:rsidP="0033507C">
      <w:pPr>
        <w:pStyle w:val="body-firstpara"/>
        <w:spacing w:after="120"/>
      </w:pPr>
      <w:proofErr w:type="gramStart"/>
      <w:r w:rsidRPr="00A62481">
        <w:rPr>
          <w:rStyle w:val="emphasis-bold"/>
        </w:rPr>
        <w:t>m</w:t>
      </w:r>
      <w:r w:rsidR="00CE0D26" w:rsidRPr="00A62481">
        <w:rPr>
          <w:rStyle w:val="emphasis-bold"/>
        </w:rPr>
        <w:t>artyrdom</w:t>
      </w:r>
      <w:r w:rsidR="00C47DB4">
        <w:rPr>
          <w:rStyle w:val="emphasis-bold"/>
        </w:rPr>
        <w:t xml:space="preserve"> </w:t>
      </w:r>
      <w:r>
        <w:rPr>
          <w:b/>
        </w:rPr>
        <w:t xml:space="preserve"> </w:t>
      </w:r>
      <w:r>
        <w:t>Witness</w:t>
      </w:r>
      <w:proofErr w:type="gramEnd"/>
      <w:r>
        <w:t xml:space="preserve"> to the saving message of Christ through the sacrifice of one’s life.</w:t>
      </w:r>
    </w:p>
    <w:p w:rsidR="00CE0D26" w:rsidRPr="003E3F63" w:rsidRDefault="003E3F63" w:rsidP="0033507C">
      <w:pPr>
        <w:pStyle w:val="body-firstpara"/>
        <w:spacing w:after="120"/>
      </w:pPr>
      <w:proofErr w:type="gramStart"/>
      <w:r w:rsidRPr="00A62481">
        <w:rPr>
          <w:rStyle w:val="emphasis-bold"/>
        </w:rPr>
        <w:t>r</w:t>
      </w:r>
      <w:r w:rsidR="00CE0D26" w:rsidRPr="00A62481">
        <w:rPr>
          <w:rStyle w:val="emphasis-bold"/>
        </w:rPr>
        <w:t>abbi</w:t>
      </w:r>
      <w:r w:rsidR="00C47DB4">
        <w:rPr>
          <w:rStyle w:val="emphasis-bold"/>
        </w:rPr>
        <w:t xml:space="preserve"> </w:t>
      </w:r>
      <w:r>
        <w:rPr>
          <w:b/>
        </w:rPr>
        <w:t xml:space="preserve"> </w:t>
      </w:r>
      <w:r>
        <w:t>An</w:t>
      </w:r>
      <w:proofErr w:type="gramEnd"/>
      <w:r>
        <w:t xml:space="preserve"> honored teacher in the Jewish tradition.</w:t>
      </w:r>
    </w:p>
    <w:p w:rsidR="00CE0D26" w:rsidRPr="00A179C9" w:rsidRDefault="00CE0D26" w:rsidP="0033507C">
      <w:pPr>
        <w:pStyle w:val="body-firstpara"/>
        <w:spacing w:after="120"/>
      </w:pPr>
      <w:proofErr w:type="gramStart"/>
      <w:r w:rsidRPr="00A62481">
        <w:rPr>
          <w:rStyle w:val="emphasis-bold"/>
        </w:rPr>
        <w:t>Samaritan</w:t>
      </w:r>
      <w:r w:rsidR="00C47DB4">
        <w:rPr>
          <w:rStyle w:val="emphasis-bold"/>
        </w:rPr>
        <w:t xml:space="preserve"> </w:t>
      </w:r>
      <w:r w:rsidR="00A179C9">
        <w:rPr>
          <w:b/>
        </w:rPr>
        <w:t xml:space="preserve"> </w:t>
      </w:r>
      <w:r w:rsidR="00A179C9">
        <w:t>An</w:t>
      </w:r>
      <w:proofErr w:type="gramEnd"/>
      <w:r w:rsidR="00A179C9">
        <w:t xml:space="preserve"> inhabitant of Samaria</w:t>
      </w:r>
      <w:r w:rsidR="008B3316">
        <w:t>, in the central hill country of Palestine. T</w:t>
      </w:r>
      <w:r w:rsidR="00A179C9">
        <w:t>he Samaritans rejected the Jerusalem Temple and worshipped instead at Mount Gerizim. The New Testament mentions the Jewish rejection of Samaritans in both the Parable of the Good Samaritan (see Luke 10:29</w:t>
      </w:r>
      <w:r w:rsidR="00C47DB4">
        <w:t>–</w:t>
      </w:r>
      <w:r w:rsidR="00A179C9">
        <w:t>37) and the account of Jesus’ speaking with the Samaritan woman at the well (see John 4:1</w:t>
      </w:r>
      <w:r w:rsidR="00C47DB4">
        <w:t>–</w:t>
      </w:r>
      <w:r w:rsidR="00A179C9">
        <w:t>42).</w:t>
      </w:r>
    </w:p>
    <w:p w:rsidR="00CE0D26" w:rsidRPr="008B3316" w:rsidRDefault="003E3F63" w:rsidP="0033507C">
      <w:pPr>
        <w:pStyle w:val="body-firstpara"/>
        <w:spacing w:after="120"/>
        <w:rPr>
          <w:rFonts w:cs="Arial"/>
        </w:rPr>
      </w:pPr>
      <w:proofErr w:type="gramStart"/>
      <w:r w:rsidRPr="00A62481">
        <w:rPr>
          <w:rStyle w:val="emphasis-bold"/>
        </w:rPr>
        <w:t>s</w:t>
      </w:r>
      <w:r w:rsidR="00CE0D26" w:rsidRPr="00A62481">
        <w:rPr>
          <w:rStyle w:val="emphasis-bold"/>
        </w:rPr>
        <w:t>cribes</w:t>
      </w:r>
      <w:r w:rsidR="00C47DB4">
        <w:rPr>
          <w:rStyle w:val="emphasis-bold"/>
        </w:rPr>
        <w:t xml:space="preserve"> </w:t>
      </w:r>
      <w:r>
        <w:rPr>
          <w:b/>
        </w:rPr>
        <w:t xml:space="preserve"> </w:t>
      </w:r>
      <w:r w:rsidR="003C00CD" w:rsidRPr="003C00CD">
        <w:rPr>
          <w:rFonts w:cs="Arial"/>
        </w:rPr>
        <w:t>Jewish</w:t>
      </w:r>
      <w:proofErr w:type="gramEnd"/>
      <w:r w:rsidR="003C00CD" w:rsidRPr="003C00CD">
        <w:rPr>
          <w:rFonts w:cs="Arial"/>
        </w:rPr>
        <w:t xml:space="preserve"> legal scholars or teachers of Jewish Law. In the New Testament, they are associated with the Pharisees and the High Priests as opponents of Jesus.</w:t>
      </w:r>
    </w:p>
    <w:p w:rsidR="00CE0D26" w:rsidRPr="00A179C9" w:rsidRDefault="00CE0D26" w:rsidP="0033507C">
      <w:pPr>
        <w:pStyle w:val="body-firstpara"/>
        <w:spacing w:after="120"/>
      </w:pPr>
      <w:proofErr w:type="gramStart"/>
      <w:r w:rsidRPr="008B3316">
        <w:rPr>
          <w:rStyle w:val="emphasis-bold"/>
          <w:rFonts w:cs="Arial"/>
        </w:rPr>
        <w:t>Syrophoenecian</w:t>
      </w:r>
      <w:r w:rsidR="00C47DB4" w:rsidRPr="008B3316">
        <w:rPr>
          <w:rStyle w:val="emphasis-bold"/>
          <w:rFonts w:cs="Arial"/>
        </w:rPr>
        <w:t xml:space="preserve"> </w:t>
      </w:r>
      <w:r w:rsidR="00A179C9" w:rsidRPr="008B3316">
        <w:rPr>
          <w:rFonts w:cs="Arial"/>
          <w:b/>
        </w:rPr>
        <w:t xml:space="preserve"> </w:t>
      </w:r>
      <w:r w:rsidR="00A179C9" w:rsidRPr="008B3316">
        <w:rPr>
          <w:rFonts w:cs="Arial"/>
        </w:rPr>
        <w:t>A</w:t>
      </w:r>
      <w:proofErr w:type="gramEnd"/>
      <w:r w:rsidR="00A179C9" w:rsidRPr="008B3316">
        <w:rPr>
          <w:rFonts w:cs="Arial"/>
        </w:rPr>
        <w:t xml:space="preserve"> person from the Phoenician cities of Tyre and Sidon. Jews considered </w:t>
      </w:r>
      <w:r w:rsidR="00A179C9">
        <w:t>Syrophoenicians “outsiders” because of their idolatrous practices.</w:t>
      </w:r>
    </w:p>
    <w:p w:rsidR="00317967" w:rsidRPr="00A40724" w:rsidRDefault="003E3F63" w:rsidP="0033507C">
      <w:pPr>
        <w:pStyle w:val="body-firstpara"/>
        <w:spacing w:after="120"/>
      </w:pPr>
      <w:proofErr w:type="gramStart"/>
      <w:r w:rsidRPr="00A62481">
        <w:rPr>
          <w:rStyle w:val="emphasis-bold"/>
        </w:rPr>
        <w:t>v</w:t>
      </w:r>
      <w:r w:rsidR="00CE0D26" w:rsidRPr="00A62481">
        <w:rPr>
          <w:rStyle w:val="emphasis-bold"/>
        </w:rPr>
        <w:t>enerate</w:t>
      </w:r>
      <w:r w:rsidR="00C47DB4">
        <w:rPr>
          <w:rStyle w:val="emphasis-bold"/>
        </w:rPr>
        <w:t xml:space="preserve"> </w:t>
      </w:r>
      <w:r>
        <w:rPr>
          <w:b/>
        </w:rPr>
        <w:t xml:space="preserve"> </w:t>
      </w:r>
      <w:r>
        <w:t>To</w:t>
      </w:r>
      <w:proofErr w:type="gramEnd"/>
      <w:r>
        <w:t xml:space="preserve"> show respect and devotion to someone or something.</w:t>
      </w:r>
    </w:p>
    <w:sectPr w:rsidR="00317967" w:rsidRPr="00A40724"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F84D3" w15:done="0"/>
  <w15:commentEx w15:paraId="04575C29" w15:done="0"/>
  <w15:commentEx w15:paraId="26774BA4" w15:done="0"/>
  <w15:commentEx w15:paraId="499D95A4" w15:done="0"/>
  <w15:commentEx w15:paraId="3D827DDC" w15:done="0"/>
  <w15:commentEx w15:paraId="52232D20" w15:done="0"/>
  <w15:commentEx w15:paraId="2A86F40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CDF" w:rsidRDefault="00BB0CDF" w:rsidP="004D0079">
      <w:r>
        <w:separator/>
      </w:r>
    </w:p>
  </w:endnote>
  <w:endnote w:type="continuationSeparator" w:id="0">
    <w:p w:rsidR="00BB0CDF" w:rsidRDefault="00BB0CDF"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141949"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141949" w:rsidRPr="00C14BC7">
                  <w:fldChar w:fldCharType="begin"/>
                </w:r>
                <w:r w:rsidRPr="00C14BC7">
                  <w:instrText xml:space="preserve"> PAGE   \* MERGEFORMAT </w:instrText>
                </w:r>
                <w:r w:rsidR="00141949" w:rsidRPr="00C14BC7">
                  <w:fldChar w:fldCharType="separate"/>
                </w:r>
                <w:r w:rsidR="00B602AD">
                  <w:rPr>
                    <w:noProof/>
                  </w:rPr>
                  <w:t>2</w:t>
                </w:r>
                <w:r w:rsidR="00141949" w:rsidRPr="00C14BC7">
                  <w:fldChar w:fldCharType="end"/>
                </w:r>
              </w:p>
              <w:p w:rsidR="002C182D" w:rsidRPr="00346154" w:rsidRDefault="00C14BC7" w:rsidP="00C14BC7">
                <w:pPr>
                  <w:pStyle w:val="Footer1"/>
                </w:pPr>
                <w:r w:rsidRPr="00C14BC7">
                  <w:t>Living in Christ Series</w:t>
                </w:r>
                <w:r w:rsidRPr="00C14BC7">
                  <w:tab/>
                  <w:t>Document #: TX00</w:t>
                </w:r>
                <w:r w:rsidR="00C47DB4">
                  <w:t>4101</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141949">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C47DB4">
                  <w:t>4101</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CDF" w:rsidRDefault="00BB0CDF" w:rsidP="004D0079">
      <w:r>
        <w:separator/>
      </w:r>
    </w:p>
  </w:footnote>
  <w:footnote w:type="continuationSeparator" w:id="0">
    <w:p w:rsidR="00BB0CDF" w:rsidRDefault="00BB0CD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FE6026" w:rsidP="00B83DD6">
    <w:pPr>
      <w:pStyle w:val="Header2"/>
    </w:pPr>
    <w:r>
      <w:t>Vocabulary for Unit 4</w:t>
    </w:r>
  </w:p>
  <w:p w:rsidR="00B602AD" w:rsidRDefault="00B602AD" w:rsidP="00B83DD6">
    <w:pPr>
      <w:pStyle w:val="Header2"/>
    </w:pPr>
  </w:p>
  <w:p w:rsidR="00B602AD" w:rsidRDefault="00B602AD" w:rsidP="00B83DD6">
    <w:pPr>
      <w:pStyle w:val="Header2"/>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Default="009E3623" w:rsidP="00784B03">
    <w:pPr>
      <w:pStyle w:val="Header1"/>
    </w:pPr>
    <w:r>
      <w:t>The Living Word</w:t>
    </w:r>
    <w:r w:rsidR="00FE6026">
      <w:t>: The Revelation of God’s Love, Second Edition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8434"/>
    <o:shapelayout v:ext="edit">
      <o:idmap v:ext="edit" data="16"/>
    </o:shapelayout>
  </w:hdrShapeDefaults>
  <w:footnotePr>
    <w:footnote w:id="-1"/>
    <w:footnote w:id="0"/>
  </w:footnotePr>
  <w:endnotePr>
    <w:endnote w:id="-1"/>
    <w:endnote w:id="0"/>
  </w:endnotePr>
  <w:compat/>
  <w:rsids>
    <w:rsidRoot w:val="00500FAD"/>
    <w:rsid w:val="00000DAD"/>
    <w:rsid w:val="00010319"/>
    <w:rsid w:val="000174A3"/>
    <w:rsid w:val="00022433"/>
    <w:rsid w:val="000262AD"/>
    <w:rsid w:val="00027333"/>
    <w:rsid w:val="000318AE"/>
    <w:rsid w:val="00063D93"/>
    <w:rsid w:val="00084EB9"/>
    <w:rsid w:val="00093CB0"/>
    <w:rsid w:val="000A58D2"/>
    <w:rsid w:val="000B0484"/>
    <w:rsid w:val="000B4E68"/>
    <w:rsid w:val="000C4001"/>
    <w:rsid w:val="000C5F25"/>
    <w:rsid w:val="000E1ADA"/>
    <w:rsid w:val="000E564B"/>
    <w:rsid w:val="000E56DC"/>
    <w:rsid w:val="000E621C"/>
    <w:rsid w:val="000F5571"/>
    <w:rsid w:val="000F6CCE"/>
    <w:rsid w:val="00103E1C"/>
    <w:rsid w:val="001041F7"/>
    <w:rsid w:val="00122197"/>
    <w:rsid w:val="001309E6"/>
    <w:rsid w:val="00131C41"/>
    <w:rsid w:val="001334C6"/>
    <w:rsid w:val="00134FEF"/>
    <w:rsid w:val="001379AD"/>
    <w:rsid w:val="00141949"/>
    <w:rsid w:val="00152401"/>
    <w:rsid w:val="0016695A"/>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17967"/>
    <w:rsid w:val="003236A3"/>
    <w:rsid w:val="00326542"/>
    <w:rsid w:val="0033507C"/>
    <w:rsid w:val="003365CF"/>
    <w:rsid w:val="00340334"/>
    <w:rsid w:val="00340D9D"/>
    <w:rsid w:val="00346154"/>
    <w:rsid w:val="003477AC"/>
    <w:rsid w:val="00352920"/>
    <w:rsid w:val="0037014E"/>
    <w:rsid w:val="003739CB"/>
    <w:rsid w:val="0038139E"/>
    <w:rsid w:val="003826EA"/>
    <w:rsid w:val="003B0E7A"/>
    <w:rsid w:val="003C00CD"/>
    <w:rsid w:val="003D381C"/>
    <w:rsid w:val="003E3F63"/>
    <w:rsid w:val="003F5CF4"/>
    <w:rsid w:val="00405DC9"/>
    <w:rsid w:val="0041187C"/>
    <w:rsid w:val="00414993"/>
    <w:rsid w:val="00422E74"/>
    <w:rsid w:val="00423B78"/>
    <w:rsid w:val="0042671A"/>
    <w:rsid w:val="00430ECE"/>
    <w:rsid w:val="004311A3"/>
    <w:rsid w:val="004430F1"/>
    <w:rsid w:val="0044529D"/>
    <w:rsid w:val="00451499"/>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4F45FD"/>
    <w:rsid w:val="00500FAD"/>
    <w:rsid w:val="0050569F"/>
    <w:rsid w:val="00531116"/>
    <w:rsid w:val="00545244"/>
    <w:rsid w:val="0055536D"/>
    <w:rsid w:val="00555EA6"/>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1770C"/>
    <w:rsid w:val="00623829"/>
    <w:rsid w:val="00624A61"/>
    <w:rsid w:val="00626E0C"/>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02FA"/>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B3316"/>
    <w:rsid w:val="008C00CC"/>
    <w:rsid w:val="008C10BF"/>
    <w:rsid w:val="008C77FF"/>
    <w:rsid w:val="008D10BC"/>
    <w:rsid w:val="008E4AB0"/>
    <w:rsid w:val="008F12F7"/>
    <w:rsid w:val="008F22A0"/>
    <w:rsid w:val="008F58B2"/>
    <w:rsid w:val="009064EC"/>
    <w:rsid w:val="00933E81"/>
    <w:rsid w:val="00945A73"/>
    <w:rsid w:val="009561A3"/>
    <w:rsid w:val="009563C5"/>
    <w:rsid w:val="00972002"/>
    <w:rsid w:val="00972BF9"/>
    <w:rsid w:val="009812C0"/>
    <w:rsid w:val="0099377E"/>
    <w:rsid w:val="009C7F08"/>
    <w:rsid w:val="009D1AC0"/>
    <w:rsid w:val="009D36BA"/>
    <w:rsid w:val="009E3623"/>
    <w:rsid w:val="009F2BD3"/>
    <w:rsid w:val="009F4DF6"/>
    <w:rsid w:val="009F6E7E"/>
    <w:rsid w:val="00A00D1F"/>
    <w:rsid w:val="00A072A2"/>
    <w:rsid w:val="00A179C9"/>
    <w:rsid w:val="00A234BF"/>
    <w:rsid w:val="00A269ED"/>
    <w:rsid w:val="00A26E43"/>
    <w:rsid w:val="00A40724"/>
    <w:rsid w:val="00A41B1A"/>
    <w:rsid w:val="00A51E67"/>
    <w:rsid w:val="00A552FD"/>
    <w:rsid w:val="00A55D18"/>
    <w:rsid w:val="00A60740"/>
    <w:rsid w:val="00A60AFD"/>
    <w:rsid w:val="00A62481"/>
    <w:rsid w:val="00A63150"/>
    <w:rsid w:val="00A64F3D"/>
    <w:rsid w:val="00A80299"/>
    <w:rsid w:val="00A8313D"/>
    <w:rsid w:val="00A847A3"/>
    <w:rsid w:val="00A96DAF"/>
    <w:rsid w:val="00AA7F49"/>
    <w:rsid w:val="00AB7278"/>
    <w:rsid w:val="00AC09E5"/>
    <w:rsid w:val="00AD02B3"/>
    <w:rsid w:val="00AD09BC"/>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602AD"/>
    <w:rsid w:val="00B74AF2"/>
    <w:rsid w:val="00B77E35"/>
    <w:rsid w:val="00B83DD6"/>
    <w:rsid w:val="00B94979"/>
    <w:rsid w:val="00BA369C"/>
    <w:rsid w:val="00BB0CDF"/>
    <w:rsid w:val="00BC1E13"/>
    <w:rsid w:val="00BC2B84"/>
    <w:rsid w:val="00BC3B30"/>
    <w:rsid w:val="00BC4453"/>
    <w:rsid w:val="00BD06B0"/>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47DB4"/>
    <w:rsid w:val="00C50BCE"/>
    <w:rsid w:val="00C51F0D"/>
    <w:rsid w:val="00C760F8"/>
    <w:rsid w:val="00C90442"/>
    <w:rsid w:val="00C91156"/>
    <w:rsid w:val="00C9466D"/>
    <w:rsid w:val="00C957EB"/>
    <w:rsid w:val="00CA154C"/>
    <w:rsid w:val="00CC176C"/>
    <w:rsid w:val="00CC5843"/>
    <w:rsid w:val="00CD1FEA"/>
    <w:rsid w:val="00CD2136"/>
    <w:rsid w:val="00CD773E"/>
    <w:rsid w:val="00CE0D26"/>
    <w:rsid w:val="00D04A29"/>
    <w:rsid w:val="00D105EA"/>
    <w:rsid w:val="00D139D1"/>
    <w:rsid w:val="00D14D22"/>
    <w:rsid w:val="00D15F6B"/>
    <w:rsid w:val="00D20A28"/>
    <w:rsid w:val="00D42A70"/>
    <w:rsid w:val="00D45298"/>
    <w:rsid w:val="00D57D5E"/>
    <w:rsid w:val="00D63C6D"/>
    <w:rsid w:val="00D64EB1"/>
    <w:rsid w:val="00D7391B"/>
    <w:rsid w:val="00D80DBD"/>
    <w:rsid w:val="00D82358"/>
    <w:rsid w:val="00D83EE1"/>
    <w:rsid w:val="00DB0351"/>
    <w:rsid w:val="00DB4EA7"/>
    <w:rsid w:val="00DD28A2"/>
    <w:rsid w:val="00E02EAF"/>
    <w:rsid w:val="00E03003"/>
    <w:rsid w:val="00E14CE7"/>
    <w:rsid w:val="00E16237"/>
    <w:rsid w:val="00E21B3C"/>
    <w:rsid w:val="00E23733"/>
    <w:rsid w:val="00E253AA"/>
    <w:rsid w:val="00E37E56"/>
    <w:rsid w:val="00E463AB"/>
    <w:rsid w:val="00E47DBF"/>
    <w:rsid w:val="00E667AB"/>
    <w:rsid w:val="00E71D43"/>
    <w:rsid w:val="00E74297"/>
    <w:rsid w:val="00E7545A"/>
    <w:rsid w:val="00EA1709"/>
    <w:rsid w:val="00EB1125"/>
    <w:rsid w:val="00EB4A79"/>
    <w:rsid w:val="00EC0A40"/>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E602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0"/>
    <w:lsdException w:name="footer" w:locked="0"/>
    <w:lsdException w:name="caption" w:uiPriority="35" w:qFormat="1"/>
    <w:lsdException w:name="annotation reference" w:uiPriority="0"/>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134FEF"/>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134FEF"/>
    <w:rPr>
      <w:rFonts w:ascii="Book Antiqua" w:eastAsia="Times New Roman" w:hAnsi="Book Antiqua" w:cs="Times New Roman"/>
      <w:color w:val="000000"/>
      <w:sz w:val="24"/>
      <w:szCs w:val="20"/>
    </w:rPr>
  </w:style>
  <w:style w:type="character" w:styleId="CommentReference">
    <w:name w:val="annotation reference"/>
    <w:basedOn w:val="DefaultParagraphFont"/>
    <w:unhideWhenUsed/>
    <w:locked/>
    <w:rsid w:val="00C47DB4"/>
    <w:rPr>
      <w:sz w:val="16"/>
      <w:szCs w:val="16"/>
    </w:rPr>
  </w:style>
  <w:style w:type="paragraph" w:styleId="CommentText">
    <w:name w:val="annotation text"/>
    <w:basedOn w:val="Normal"/>
    <w:link w:val="CommentTextChar"/>
    <w:unhideWhenUsed/>
    <w:locked/>
    <w:rsid w:val="00C47DB4"/>
  </w:style>
  <w:style w:type="character" w:customStyle="1" w:styleId="CommentTextChar">
    <w:name w:val="Comment Text Char"/>
    <w:basedOn w:val="DefaultParagraphFont"/>
    <w:link w:val="CommentText"/>
    <w:rsid w:val="00C47DB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47DB4"/>
    <w:rPr>
      <w:b/>
      <w:bCs/>
    </w:rPr>
  </w:style>
  <w:style w:type="character" w:customStyle="1" w:styleId="CommentSubjectChar">
    <w:name w:val="Comment Subject Char"/>
    <w:basedOn w:val="CommentTextChar"/>
    <w:link w:val="CommentSubject"/>
    <w:uiPriority w:val="99"/>
    <w:semiHidden/>
    <w:rsid w:val="00C47DB4"/>
    <w:rPr>
      <w:rFonts w:ascii="Arial" w:eastAsia="Times New Roman" w:hAnsi="Arial" w:cs="Times New Roman"/>
      <w:b/>
      <w:bCs/>
      <w:sz w:val="20"/>
      <w:szCs w:val="20"/>
    </w:rPr>
  </w:style>
  <w:style w:type="paragraph" w:styleId="Revision">
    <w:name w:val="Revision"/>
    <w:hidden/>
    <w:uiPriority w:val="99"/>
    <w:semiHidden/>
    <w:rsid w:val="00C47DB4"/>
    <w:pPr>
      <w:spacing w:after="0" w:line="240" w:lineRule="auto"/>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2530-04A5-49B5-9BC0-CF7BD84D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1019</Words>
  <Characters>5386</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bmartinka</cp:lastModifiedBy>
  <cp:revision>15</cp:revision>
  <cp:lastPrinted>2010-01-08T18:19:00Z</cp:lastPrinted>
  <dcterms:created xsi:type="dcterms:W3CDTF">2014-01-05T05:54:00Z</dcterms:created>
  <dcterms:modified xsi:type="dcterms:W3CDTF">2014-06-12T18:04:00Z</dcterms:modified>
</cp:coreProperties>
</file>