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C8" w:rsidRPr="007C7773" w:rsidRDefault="004C0CC8" w:rsidP="00E02AAA">
      <w:pPr>
        <w:pStyle w:val="A-BH"/>
      </w:pPr>
      <w:r w:rsidRPr="007C7773">
        <w:t xml:space="preserve">The </w:t>
      </w:r>
      <w:r>
        <w:t>Visible and the Invisible Church</w:t>
      </w:r>
    </w:p>
    <w:p w:rsidR="004C0CC8" w:rsidRPr="00105357" w:rsidRDefault="004C0CC8" w:rsidP="00E02AAA">
      <w:pPr>
        <w:pStyle w:val="A-CH"/>
      </w:pPr>
      <w:r w:rsidRPr="00105357">
        <w:t>The Visible and the Invisible Church</w:t>
      </w:r>
    </w:p>
    <w:p w:rsidR="004C0CC8" w:rsidRPr="00105357" w:rsidRDefault="004C0CC8" w:rsidP="00E02AAA">
      <w:pPr>
        <w:pStyle w:val="A-Text"/>
      </w:pPr>
      <w:r>
        <w:t xml:space="preserve">The </w:t>
      </w:r>
      <w:r w:rsidRPr="00105357">
        <w:t xml:space="preserve">Catholic </w:t>
      </w:r>
      <w:r>
        <w:t xml:space="preserve">understanding of the </w:t>
      </w:r>
      <w:r w:rsidRPr="00105357">
        <w:t xml:space="preserve">visible, historical continuity </w:t>
      </w:r>
      <w:r>
        <w:t xml:space="preserve">of the Church </w:t>
      </w:r>
      <w:r w:rsidRPr="00105357">
        <w:t xml:space="preserve">is consistent with the great Christian principles of the </w:t>
      </w:r>
      <w:r>
        <w:t>I</w:t>
      </w:r>
      <w:r w:rsidRPr="00105357">
        <w:t xml:space="preserve">ncarnation and the sacramental nature of the </w:t>
      </w:r>
      <w:r>
        <w:t>C</w:t>
      </w:r>
      <w:r w:rsidRPr="00105357">
        <w:t>hurch. The common threads are the convictions that God works through the concrete, the spiritual flows through the physical, and the human can be reconciled with the divine.</w:t>
      </w:r>
      <w:r>
        <w:t xml:space="preserve"> This understanding of</w:t>
      </w:r>
      <w:r w:rsidRPr="00105357">
        <w:t xml:space="preserve"> the visible and historical nature of the one </w:t>
      </w:r>
      <w:r>
        <w:t>C</w:t>
      </w:r>
      <w:r w:rsidRPr="00105357">
        <w:t>hurch may become clearer if we briefly consider one alternative to it. Avery Dulles sums up the thought of the influential Prot</w:t>
      </w:r>
      <w:r>
        <w:t>estant theologian Paul Tillich:</w:t>
      </w:r>
    </w:p>
    <w:p w:rsidR="004C0CC8" w:rsidRPr="00105357" w:rsidRDefault="004C0CC8" w:rsidP="00E02AAA">
      <w:pPr>
        <w:pStyle w:val="A-Extract"/>
      </w:pPr>
      <w:r w:rsidRPr="00105357">
        <w:t>Tillich made a sharp distinction between the “Spiritual Community,” which he viewed as one and undivided, and the “churches,” which he regarded as mutually disunited human organizations. He refused even to use the term “Church” with a capital “</w:t>
      </w:r>
      <w:r>
        <w:t>C</w:t>
      </w:r>
      <w:r w:rsidRPr="00105357">
        <w:t>,” for he looked upon the “Spiritual Community” not as an organized body but as a mystical reality latent in and behind the visible churches.</w:t>
      </w:r>
      <w:r w:rsidRPr="00105357">
        <w:rPr>
          <w:rStyle w:val="EndnoteReference"/>
          <w:rFonts w:ascii="Book Antiqua" w:hAnsi="Book Antiqua" w:cs="Book Antiqua"/>
        </w:rPr>
        <w:endnoteReference w:id="1"/>
      </w:r>
    </w:p>
    <w:p w:rsidR="004C0CC8" w:rsidRPr="00105357" w:rsidRDefault="004C0CC8" w:rsidP="00E02AAA">
      <w:pPr>
        <w:pStyle w:val="A-Text"/>
      </w:pPr>
      <w:r w:rsidRPr="00105357">
        <w:t xml:space="preserve">In the Catholic view, however, conceptions such as Tillich’s come dangerously close to a Gnostic separation of the spiritual from the earthly, bodily, and historical realm. As </w:t>
      </w:r>
      <w:r w:rsidRPr="00112F56">
        <w:rPr>
          <w:i/>
          <w:iCs/>
        </w:rPr>
        <w:t xml:space="preserve">Dogmatic Constitution on the Church </w:t>
      </w:r>
      <w:r>
        <w:t>(</w:t>
      </w:r>
      <w:r w:rsidRPr="00105357">
        <w:rPr>
          <w:i/>
          <w:iCs/>
        </w:rPr>
        <w:t xml:space="preserve">Lumen </w:t>
      </w:r>
      <w:proofErr w:type="spellStart"/>
      <w:r w:rsidRPr="00105357">
        <w:rPr>
          <w:i/>
          <w:iCs/>
        </w:rPr>
        <w:t>Gentium</w:t>
      </w:r>
      <w:proofErr w:type="spellEnd"/>
      <w:r>
        <w:rPr>
          <w:i/>
          <w:iCs/>
        </w:rPr>
        <w:t xml:space="preserve">, </w:t>
      </w:r>
      <w:r w:rsidRPr="00112F56">
        <w:t>1964)</w:t>
      </w:r>
      <w:r w:rsidRPr="00105357">
        <w:t xml:space="preserve"> taught, one cannot separate the “spiritual community” from the concrete, physical structures of church hierarchy, just as the body and the soul cannot naturall</w:t>
      </w:r>
      <w:r>
        <w:t>y be separated from each other (8).</w:t>
      </w:r>
    </w:p>
    <w:p w:rsidR="004C0CC8" w:rsidRPr="00105357" w:rsidRDefault="004C0CC8" w:rsidP="00E02AAA">
      <w:pPr>
        <w:pStyle w:val="A-Text"/>
      </w:pPr>
      <w:r>
        <w:tab/>
      </w:r>
      <w:r w:rsidRPr="00105357">
        <w:t xml:space="preserve">In the Catholic understanding, this is also the only way to safeguard the “oneness” of the </w:t>
      </w:r>
      <w:r>
        <w:t>C</w:t>
      </w:r>
      <w:r w:rsidRPr="00105357">
        <w:t xml:space="preserve">hurch. If a </w:t>
      </w:r>
      <w:proofErr w:type="gramStart"/>
      <w:r w:rsidRPr="00105357">
        <w:t>central</w:t>
      </w:r>
      <w:proofErr w:type="gramEnd"/>
      <w:r w:rsidRPr="00105357">
        <w:t xml:space="preserve"> Christian belief is that the </w:t>
      </w:r>
      <w:r>
        <w:t>C</w:t>
      </w:r>
      <w:r w:rsidRPr="00105357">
        <w:t>hurch is “one</w:t>
      </w:r>
      <w:r>
        <w:t>,</w:t>
      </w:r>
      <w:r w:rsidRPr="00105357">
        <w:t xml:space="preserve">” then it is essential to have a clear, visible sign of that “oneness” in the visible structure of the Roman Catholic Church. Otherwise, how could we describe the “oneness” of the </w:t>
      </w:r>
      <w:r>
        <w:t>C</w:t>
      </w:r>
      <w:r w:rsidRPr="00105357">
        <w:t xml:space="preserve">hurch? Would it be a vague idea of the sum total of all churches that call themselves Christian? If so, in what sense are they “one,” since their beliefs and practices are often quite different? </w:t>
      </w:r>
      <w:r>
        <w:t xml:space="preserve">How could such a </w:t>
      </w:r>
      <w:r w:rsidRPr="00105357">
        <w:t xml:space="preserve">vague </w:t>
      </w:r>
      <w:r>
        <w:t xml:space="preserve">concept of </w:t>
      </w:r>
      <w:r w:rsidRPr="00105357">
        <w:t xml:space="preserve">unity make </w:t>
      </w:r>
      <w:r>
        <w:t>a real,</w:t>
      </w:r>
      <w:r w:rsidRPr="00105357">
        <w:t xml:space="preserve"> practical difference in the </w:t>
      </w:r>
      <w:r>
        <w:t>lives</w:t>
      </w:r>
      <w:r w:rsidRPr="00105357">
        <w:t xml:space="preserve"> of the individual churches</w:t>
      </w:r>
      <w:r>
        <w:t>?</w:t>
      </w:r>
    </w:p>
    <w:p w:rsidR="004C0CC8" w:rsidRPr="00105357" w:rsidRDefault="004C0CC8" w:rsidP="00E02AAA">
      <w:pPr>
        <w:pStyle w:val="A-Text"/>
      </w:pPr>
      <w:r>
        <w:tab/>
      </w:r>
      <w:r w:rsidRPr="00105357">
        <w:t xml:space="preserve">The concern to identify the visible structure and unity of the </w:t>
      </w:r>
      <w:r>
        <w:t>C</w:t>
      </w:r>
      <w:r w:rsidRPr="00105357">
        <w:t>hurch is not solely a Catholic one. The great Protestant theologian Karl Barth wrote, “If we seek to solve the question of the unity of the Church by appealing to an invisible church, we speculate as Platonists instead of listening to Christ.”</w:t>
      </w:r>
      <w:r w:rsidRPr="00105357">
        <w:rPr>
          <w:rStyle w:val="EndnoteReference"/>
          <w:rFonts w:ascii="Book Antiqua" w:hAnsi="Book Antiqua" w:cs="Book Antiqua"/>
        </w:rPr>
        <w:endnoteReference w:id="2"/>
      </w:r>
      <w:r w:rsidRPr="00105357">
        <w:t xml:space="preserve"> Ola </w:t>
      </w:r>
      <w:proofErr w:type="spellStart"/>
      <w:r w:rsidRPr="00105357">
        <w:t>Tjorhom</w:t>
      </w:r>
      <w:proofErr w:type="spellEnd"/>
      <w:r w:rsidRPr="00105357">
        <w:t xml:space="preserve"> shows that the Reformers themselves were concerned to maintain visible structures of the </w:t>
      </w:r>
      <w:r>
        <w:t>C</w:t>
      </w:r>
      <w:r w:rsidRPr="00105357">
        <w:t>hurch, including visible sacra</w:t>
      </w:r>
      <w:r>
        <w:t>ments and an ordained ministry.</w:t>
      </w:r>
    </w:p>
    <w:p w:rsidR="004C0CC8" w:rsidRDefault="004C0CC8" w:rsidP="00E02AAA">
      <w:pPr>
        <w:pStyle w:val="A-CH"/>
      </w:pPr>
      <w:r w:rsidRPr="007C7773">
        <w:t>A Sociological Perspective on Institutional Structur</w:t>
      </w:r>
      <w:r>
        <w:t>e</w:t>
      </w:r>
    </w:p>
    <w:p w:rsidR="004C0CC8" w:rsidRPr="007C7773" w:rsidRDefault="004C0CC8" w:rsidP="00E02AAA">
      <w:pPr>
        <w:pStyle w:val="A-Text"/>
      </w:pPr>
      <w:r w:rsidRPr="007C7773">
        <w:t>From a sociological perspective, all groups need some kind of organized structure and authority. A business organization, for example, needs to have its supervisors and executives. If a business has no hierarchical organization, it is unlikely to be efficient and p</w:t>
      </w:r>
      <w:r>
        <w:t>roductive, and it won’t last long.</w:t>
      </w:r>
    </w:p>
    <w:p w:rsidR="004C0CC8" w:rsidRPr="007C7773" w:rsidRDefault="004C0CC8" w:rsidP="00E02AAA">
      <w:pPr>
        <w:pStyle w:val="A-Text"/>
      </w:pPr>
      <w:r>
        <w:tab/>
      </w:r>
      <w:r w:rsidRPr="007C7773">
        <w:t>The earliest groups of followers of Jesus were no exception. True, the descriptions of early church services (such as 1 Cor</w:t>
      </w:r>
      <w:r>
        <w:t>inthians</w:t>
      </w:r>
      <w:r w:rsidRPr="007C7773">
        <w:t xml:space="preserve"> 14:26–33) sound quite spontaneous, as if the members were led by the Holy Spirit with no structured order. But notice that even here the </w:t>
      </w:r>
      <w:r>
        <w:t>A</w:t>
      </w:r>
      <w:r w:rsidRPr="007C7773">
        <w:t>postle Paul is concerned for structure and order: “If anyone speak</w:t>
      </w:r>
      <w:r>
        <w:t>s</w:t>
      </w:r>
      <w:r w:rsidRPr="007C7773">
        <w:t xml:space="preserve"> in a tongue, let it be two or at most three, and each in turn.</w:t>
      </w:r>
      <w:r>
        <w:t xml:space="preserve"> </w:t>
      </w:r>
      <w:r w:rsidRPr="007C7773">
        <w:t xml:space="preserve"> . </w:t>
      </w:r>
      <w:r>
        <w:t xml:space="preserve"> </w:t>
      </w:r>
      <w:r w:rsidRPr="007C7773">
        <w:t xml:space="preserve">. </w:t>
      </w:r>
      <w:r>
        <w:t xml:space="preserve"> </w:t>
      </w:r>
      <w:r w:rsidRPr="007C7773">
        <w:t>.</w:t>
      </w:r>
      <w:r>
        <w:t xml:space="preserve"> </w:t>
      </w:r>
      <w:r w:rsidRPr="007C7773">
        <w:t xml:space="preserve"> He is not the God of disorder but of peace.</w:t>
      </w:r>
      <w:r>
        <w:t xml:space="preserve"> </w:t>
      </w:r>
      <w:r w:rsidRPr="007C7773">
        <w:t xml:space="preserve"> .</w:t>
      </w:r>
      <w:r>
        <w:t xml:space="preserve"> </w:t>
      </w:r>
      <w:r w:rsidRPr="007C7773">
        <w:t xml:space="preserve"> .</w:t>
      </w:r>
      <w:r>
        <w:t xml:space="preserve"> </w:t>
      </w:r>
      <w:r w:rsidRPr="007C7773">
        <w:t xml:space="preserve"> . </w:t>
      </w:r>
      <w:r>
        <w:t xml:space="preserve"> </w:t>
      </w:r>
      <w:r w:rsidRPr="007C7773">
        <w:t xml:space="preserve">But everything must be done properly and in order” (14:27–40). </w:t>
      </w:r>
      <w:r w:rsidRPr="007C7773">
        <w:lastRenderedPageBreak/>
        <w:t>This same letter also refers to a hierarchical structure of authority: “Some people God has designated in the church to be, first, apostles; second, prophets; third, teachers” (</w:t>
      </w:r>
      <w:r>
        <w:t>12:28).</w:t>
      </w:r>
    </w:p>
    <w:p w:rsidR="004C0CC8" w:rsidRPr="007C7773" w:rsidRDefault="004C0CC8" w:rsidP="00E02AAA">
      <w:pPr>
        <w:pStyle w:val="A-Text"/>
      </w:pPr>
      <w:r>
        <w:tab/>
      </w:r>
      <w:r w:rsidRPr="007C7773">
        <w:t xml:space="preserve">If the followers of Jesus had not organized themselves into structured communities with a clear leadership, Jesus’ teaching would have been forgotten and lost within a few generations. The whole process of writing and canonizing the New Testament could only have been accomplished through organized </w:t>
      </w:r>
      <w:bookmarkStart w:id="0" w:name="_GoBack"/>
      <w:bookmarkEnd w:id="0"/>
      <w:r>
        <w:t>communities</w:t>
      </w:r>
      <w:r w:rsidRPr="007C7773">
        <w:t>.</w:t>
      </w:r>
    </w:p>
    <w:p w:rsidR="004C0CC8" w:rsidRPr="007C7773" w:rsidRDefault="004C0CC8" w:rsidP="00E02AAA">
      <w:pPr>
        <w:pStyle w:val="A-Text"/>
      </w:pPr>
      <w:r>
        <w:tab/>
      </w:r>
      <w:r w:rsidRPr="007C7773">
        <w:t xml:space="preserve">We now turn to a consideration of a particular group of the earliest Christian community leaders—the </w:t>
      </w:r>
      <w:r>
        <w:t>A</w:t>
      </w:r>
      <w:r w:rsidRPr="007C7773">
        <w:t xml:space="preserve">postles, and the Catholic notion of </w:t>
      </w:r>
      <w:r>
        <w:t>A</w:t>
      </w:r>
      <w:r w:rsidRPr="007C7773">
        <w:t xml:space="preserve">postolic </w:t>
      </w:r>
      <w:r>
        <w:t>Succession.</w:t>
      </w:r>
    </w:p>
    <w:p w:rsidR="004C0CC8" w:rsidRPr="007C7773" w:rsidRDefault="004C0CC8" w:rsidP="00E02AAA">
      <w:pPr>
        <w:pStyle w:val="A-CH"/>
      </w:pPr>
      <w:r w:rsidRPr="007C7773">
        <w:t>Visible Structure of the</w:t>
      </w:r>
      <w:r>
        <w:t xml:space="preserve"> Church and Apostolic Succession</w:t>
      </w:r>
    </w:p>
    <w:p w:rsidR="004C0CC8" w:rsidRPr="007C7773" w:rsidRDefault="004C0CC8" w:rsidP="00E02AAA">
      <w:pPr>
        <w:pStyle w:val="A-Text"/>
      </w:pPr>
      <w:r>
        <w:t>Apostolic Tradition</w:t>
      </w:r>
      <w:r w:rsidRPr="007C7773">
        <w:t xml:space="preserve"> and </w:t>
      </w:r>
      <w:r>
        <w:t>A</w:t>
      </w:r>
      <w:r w:rsidRPr="007C7773">
        <w:t xml:space="preserve">postolic </w:t>
      </w:r>
      <w:r>
        <w:t>S</w:t>
      </w:r>
      <w:r w:rsidRPr="007C7773">
        <w:t>uccession are closely related, since the reliability of the tradition (what is taught) cannot be separated from the reliability of the teachers.</w:t>
      </w:r>
      <w:r w:rsidRPr="007C7773">
        <w:rPr>
          <w:rStyle w:val="EndnoteReference"/>
          <w:vertAlign w:val="baseline"/>
        </w:rPr>
        <w:endnoteReference w:id="3"/>
      </w:r>
    </w:p>
    <w:p w:rsidR="004C0CC8" w:rsidRPr="007C7773" w:rsidRDefault="004C0CC8" w:rsidP="00E02AAA">
      <w:pPr>
        <w:pStyle w:val="A-Text"/>
      </w:pPr>
      <w:r>
        <w:rPr>
          <w:i/>
          <w:iCs/>
        </w:rPr>
        <w:tab/>
        <w:t xml:space="preserve">Dogmatic Constitution on the Church </w:t>
      </w:r>
      <w:r w:rsidRPr="007C7773">
        <w:t xml:space="preserve">teaches that Jesus appointed the Twelve, whom “he constituted in the form of a college or permanent assembly, at the head of which he placed Peter.” The </w:t>
      </w:r>
      <w:r>
        <w:t>A</w:t>
      </w:r>
      <w:r w:rsidRPr="007C7773">
        <w:t>postles were “preaching everywhere the Gospel” and would “gather together the universal Church” (</w:t>
      </w:r>
      <w:r>
        <w:t>19).</w:t>
      </w:r>
    </w:p>
    <w:p w:rsidR="004C0CC8" w:rsidRPr="007C7773" w:rsidRDefault="004C0CC8" w:rsidP="00E02AAA">
      <w:pPr>
        <w:pStyle w:val="A-Text"/>
      </w:pPr>
      <w:r>
        <w:tab/>
      </w:r>
      <w:r w:rsidRPr="007C7773">
        <w:t xml:space="preserve">Bishops are seen as the successors to the </w:t>
      </w:r>
      <w:r>
        <w:t>A</w:t>
      </w:r>
      <w:r w:rsidRPr="007C7773">
        <w:t>postles, the “transmitter</w:t>
      </w:r>
      <w:r>
        <w:t>s of the apostolic line” (</w:t>
      </w:r>
      <w:r w:rsidRPr="00112F56">
        <w:rPr>
          <w:i/>
          <w:iCs/>
        </w:rPr>
        <w:t>Church,</w:t>
      </w:r>
      <w:r w:rsidRPr="007C7773">
        <w:t xml:space="preserve"> 20). “In order that the full and living Gospel might always be preserved in the Church the apostles left bishops as their successors. </w:t>
      </w:r>
      <w:proofErr w:type="gramStart"/>
      <w:r w:rsidRPr="007C7773">
        <w:t>They gave them their own position</w:t>
      </w:r>
      <w:r>
        <w:t xml:space="preserve"> of teaching authority” (</w:t>
      </w:r>
      <w:r w:rsidRPr="00112F56">
        <w:rPr>
          <w:i/>
          <w:iCs/>
        </w:rPr>
        <w:t>Dogmatic Constitution on Divine Revelation</w:t>
      </w:r>
      <w:r>
        <w:t xml:space="preserve"> [</w:t>
      </w:r>
      <w:r w:rsidRPr="00112F56">
        <w:rPr>
          <w:i/>
          <w:iCs/>
        </w:rPr>
        <w:t>Dei Verbum,</w:t>
      </w:r>
      <w:r>
        <w:t xml:space="preserve"> 1965], </w:t>
      </w:r>
      <w:r w:rsidRPr="007C7773">
        <w:t>7).</w:t>
      </w:r>
      <w:proofErr w:type="gramEnd"/>
    </w:p>
    <w:p w:rsidR="004C0CC8" w:rsidRPr="007C7773" w:rsidRDefault="004C0CC8" w:rsidP="00E02AAA">
      <w:pPr>
        <w:pStyle w:val="A-Text"/>
      </w:pPr>
      <w:r>
        <w:tab/>
        <w:t>The A</w:t>
      </w:r>
      <w:r w:rsidRPr="007C7773">
        <w:t xml:space="preserve">postolic </w:t>
      </w:r>
      <w:r>
        <w:t>Succession</w:t>
      </w:r>
      <w:r w:rsidRPr="007C7773">
        <w:t xml:space="preserve"> also includes a spiritual authority expressed through </w:t>
      </w:r>
      <w:r>
        <w:t>S</w:t>
      </w:r>
      <w:r w:rsidRPr="007C7773">
        <w:t xml:space="preserve">acraments; this authority is understood as a specific gift of the Holy Spirit. The </w:t>
      </w:r>
      <w:r>
        <w:t>A</w:t>
      </w:r>
      <w:r w:rsidRPr="007C7773">
        <w:t>postles, having received the Holy Spirit from Jesus, passed on the gift of the Spirit to their “auxiliaries” (see 1 Tim</w:t>
      </w:r>
      <w:r>
        <w:t>othy</w:t>
      </w:r>
      <w:r w:rsidRPr="007C7773">
        <w:t xml:space="preserve"> 4:14</w:t>
      </w:r>
      <w:r>
        <w:t>,</w:t>
      </w:r>
      <w:r w:rsidRPr="007C7773">
        <w:t xml:space="preserve"> 2 Tim</w:t>
      </w:r>
      <w:r>
        <w:t>othy</w:t>
      </w:r>
      <w:r w:rsidRPr="007C7773">
        <w:t xml:space="preserve"> 1:6–7). This transmission of spiritual authority occurs within the sacramental ritual of ordination. In the Catholic understanding, this spiritual authority, the “gift of the Spirit” that the </w:t>
      </w:r>
      <w:r>
        <w:t>A</w:t>
      </w:r>
      <w:r w:rsidRPr="007C7773">
        <w:t xml:space="preserve">postles received from Jesus, is passed down in the </w:t>
      </w:r>
      <w:r>
        <w:t>S</w:t>
      </w:r>
      <w:r w:rsidRPr="007C7773">
        <w:t>acrament of Holy Orders, where a bishop ordains a priest or deacon with the laying on of hands (</w:t>
      </w:r>
      <w:r>
        <w:t xml:space="preserve">see </w:t>
      </w:r>
      <w:r w:rsidRPr="00112F56">
        <w:rPr>
          <w:i/>
          <w:iCs/>
        </w:rPr>
        <w:t>Catechism of the Catholic Church</w:t>
      </w:r>
      <w:r>
        <w:rPr>
          <w:i/>
          <w:iCs/>
        </w:rPr>
        <w:t xml:space="preserve"> [CCC]</w:t>
      </w:r>
      <w:r w:rsidRPr="00112F56">
        <w:rPr>
          <w:i/>
          <w:iCs/>
        </w:rPr>
        <w:t>,</w:t>
      </w:r>
      <w:r>
        <w:t xml:space="preserve"> </w:t>
      </w:r>
      <w:r w:rsidRPr="007C7773">
        <w:t xml:space="preserve">1576). Vatican Council II teaches that this gift of the Spirit “is transmitted down to our day through </w:t>
      </w:r>
      <w:r>
        <w:t>Episcopal consecration” (</w:t>
      </w:r>
      <w:r w:rsidRPr="00112F56">
        <w:rPr>
          <w:i/>
          <w:iCs/>
        </w:rPr>
        <w:t>Church,</w:t>
      </w:r>
      <w:r>
        <w:t xml:space="preserve"> </w:t>
      </w:r>
      <w:r w:rsidRPr="007C7773">
        <w:t>21).</w:t>
      </w:r>
    </w:p>
    <w:p w:rsidR="004C0CC8" w:rsidRPr="007C7773" w:rsidRDefault="004C0CC8" w:rsidP="00E02AAA">
      <w:pPr>
        <w:pStyle w:val="A-Text"/>
      </w:pPr>
      <w:r>
        <w:tab/>
      </w:r>
      <w:r w:rsidRPr="007C7773">
        <w:t xml:space="preserve">As an example of this spiritual authority that Jesus gave the </w:t>
      </w:r>
      <w:r>
        <w:t>A</w:t>
      </w:r>
      <w:r w:rsidRPr="007C7773">
        <w:t xml:space="preserve">postles, consider the authority to forgive sins. According to the Gospel of John, the </w:t>
      </w:r>
      <w:r>
        <w:t>R</w:t>
      </w:r>
      <w:r w:rsidRPr="007C7773">
        <w:t>isen Jesus appeared to his disciples.</w:t>
      </w:r>
    </w:p>
    <w:p w:rsidR="004C0CC8" w:rsidRPr="007C7773" w:rsidRDefault="004C0CC8" w:rsidP="00E02AAA">
      <w:pPr>
        <w:pStyle w:val="A-Extract"/>
      </w:pPr>
      <w:r w:rsidRPr="007C7773">
        <w:t xml:space="preserve">[Jesus] said to them again, “Peace </w:t>
      </w:r>
      <w:proofErr w:type="gramStart"/>
      <w:r w:rsidRPr="007C7773">
        <w:t>be</w:t>
      </w:r>
      <w:proofErr w:type="gramEnd"/>
      <w:r w:rsidRPr="007C7773">
        <w:t xml:space="preserve"> with you. As the Father has sent me, so I send you.” And when he had said this, he breathed on them and said to them, “Receive the holy Spirit. Whose sins you forgive are forgiven them, and whose sins you retain are retained.” (20:21–23)</w:t>
      </w:r>
    </w:p>
    <w:p w:rsidR="004C0CC8" w:rsidRPr="007C7773" w:rsidRDefault="004C0CC8" w:rsidP="00E02AAA">
      <w:pPr>
        <w:pStyle w:val="A-Text"/>
      </w:pPr>
      <w:r w:rsidRPr="007C7773">
        <w:t xml:space="preserve">This authority is also seen in Jesus’ words to Peter, “I will give you the keys to the kingdom of heaven. Whatever you bind on earth shall be bound in heaven; and whatever you loose on earth shall be loosed in </w:t>
      </w:r>
      <w:r>
        <w:t>heaven” (Matthew</w:t>
      </w:r>
      <w:r w:rsidRPr="007C7773">
        <w:t xml:space="preserve"> 16:19). Jesus gives a similar authority of binding and lo</w:t>
      </w:r>
      <w:r w:rsidR="0058269F">
        <w:t>o</w:t>
      </w:r>
      <w:r w:rsidRPr="007C7773">
        <w:t xml:space="preserve">sing to all the disciples in Matthew 18:18. </w:t>
      </w:r>
    </w:p>
    <w:p w:rsidR="004C0CC8" w:rsidRPr="007C7773" w:rsidRDefault="004C0CC8" w:rsidP="00E02AAA">
      <w:pPr>
        <w:pStyle w:val="A-Text"/>
      </w:pPr>
      <w:r>
        <w:tab/>
      </w:r>
      <w:r w:rsidRPr="007C7773">
        <w:t>This apostolic authority to forgive sins, in the Catholic understanding, is then passed down within the Church, “who through the bishops and his priests forgives sins in the name of Jesus Christ” (</w:t>
      </w:r>
      <w:r w:rsidRPr="00112F56">
        <w:rPr>
          <w:i/>
          <w:iCs/>
        </w:rPr>
        <w:t>CCC,</w:t>
      </w:r>
      <w:r>
        <w:t xml:space="preserve"> 1448).</w:t>
      </w:r>
    </w:p>
    <w:p w:rsidR="004C0CC8" w:rsidRDefault="004C0CC8" w:rsidP="00073391">
      <w:pPr>
        <w:spacing w:after="200" w:line="276" w:lineRule="auto"/>
      </w:pPr>
    </w:p>
    <w:p w:rsidR="004C0CC8" w:rsidRPr="00112F56" w:rsidRDefault="004C0CC8" w:rsidP="00E02AAA">
      <w:pPr>
        <w:pStyle w:val="A-References-roman"/>
        <w:ind w:left="0" w:firstLine="0"/>
        <w:rPr>
          <w:i/>
          <w:iCs/>
        </w:rPr>
      </w:pPr>
      <w:r w:rsidRPr="00112F56">
        <w:lastRenderedPageBreak/>
        <w:t xml:space="preserve">(This article is adapted from </w:t>
      </w:r>
      <w:r w:rsidRPr="00112F56">
        <w:rPr>
          <w:i/>
          <w:iCs/>
        </w:rPr>
        <w:t>Reason, Faith, and Tradition: Explorations in Catholic Theology</w:t>
      </w:r>
      <w:r w:rsidRPr="00112F56">
        <w:t xml:space="preserve">, by Martin C. </w:t>
      </w:r>
      <w:proofErr w:type="spellStart"/>
      <w:r w:rsidRPr="00112F56">
        <w:t>Albl</w:t>
      </w:r>
      <w:proofErr w:type="spellEnd"/>
      <w:r w:rsidRPr="00112F56">
        <w:t xml:space="preserve"> [Winona, MN: Anselm Academic, 2009], pages 342–345. </w:t>
      </w:r>
      <w:proofErr w:type="gramStart"/>
      <w:r w:rsidRPr="00112F56">
        <w:t xml:space="preserve">Copyright © 2009 by Martin </w:t>
      </w:r>
      <w:proofErr w:type="spellStart"/>
      <w:r w:rsidRPr="00112F56">
        <w:t>Albl</w:t>
      </w:r>
      <w:proofErr w:type="spellEnd"/>
      <w:r w:rsidRPr="00112F56">
        <w:t>.</w:t>
      </w:r>
      <w:proofErr w:type="gramEnd"/>
      <w:r w:rsidRPr="00112F56">
        <w:t xml:space="preserve"> All rights reserved.</w:t>
      </w:r>
    </w:p>
    <w:p w:rsidR="004C0CC8" w:rsidRPr="00112F56" w:rsidRDefault="004C0CC8" w:rsidP="00112F56">
      <w:pPr>
        <w:pStyle w:val="A-References-roman"/>
        <w:ind w:left="0" w:firstLine="0"/>
      </w:pPr>
      <w:r w:rsidRPr="00112F56">
        <w:tab/>
        <w:t>The scriptural quotations in this article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4C0CC8" w:rsidRPr="00112F56" w:rsidRDefault="004C0CC8" w:rsidP="00112F56">
      <w:pPr>
        <w:pStyle w:val="A-References-roman"/>
        <w:ind w:left="0" w:firstLine="0"/>
        <w:rPr>
          <w:i/>
          <w:iCs/>
        </w:rPr>
      </w:pPr>
      <w:r w:rsidRPr="00112F56">
        <w:tab/>
        <w:t xml:space="preserve">The quotation labeled </w:t>
      </w:r>
      <w:r w:rsidRPr="00112F56">
        <w:rPr>
          <w:i/>
          <w:iCs/>
        </w:rPr>
        <w:t>CCC</w:t>
      </w:r>
      <w:r w:rsidRPr="00112F56">
        <w:t xml:space="preserve"> is from the English translation of the </w:t>
      </w:r>
      <w:r w:rsidRPr="00112F56">
        <w:rPr>
          <w:rStyle w:val="Emphasis"/>
        </w:rPr>
        <w:t>Catechism of the Catholic Church</w:t>
      </w:r>
      <w:r w:rsidRPr="00112F56">
        <w:t xml:space="preserve"> for use in the United States of America, second edition</w:t>
      </w:r>
      <w:r w:rsidRPr="00112F56">
        <w:rPr>
          <w:i/>
          <w:iCs/>
        </w:rPr>
        <w:t>,</w:t>
      </w:r>
      <w:r w:rsidRPr="00112F56">
        <w:t xml:space="preserve"> number 1448. </w:t>
      </w:r>
      <w:proofErr w:type="gramStart"/>
      <w:r w:rsidRPr="00112F56">
        <w:t>Copyright © 1994 by the United States Catholic Conference, Inc.—</w:t>
      </w:r>
      <w:proofErr w:type="spellStart"/>
      <w:r w:rsidRPr="00112F56">
        <w:t>Libreria</w:t>
      </w:r>
      <w:proofErr w:type="spellEnd"/>
      <w:r w:rsidRPr="00112F56">
        <w:t xml:space="preserve"> </w:t>
      </w:r>
      <w:proofErr w:type="spellStart"/>
      <w:r w:rsidRPr="00112F56">
        <w:t>Editrice</w:t>
      </w:r>
      <w:proofErr w:type="spellEnd"/>
      <w:r w:rsidRPr="00112F56">
        <w:t xml:space="preserve"> </w:t>
      </w:r>
      <w:proofErr w:type="spellStart"/>
      <w:r w:rsidRPr="00112F56">
        <w:t>Vaticana</w:t>
      </w:r>
      <w:proofErr w:type="spellEnd"/>
      <w:r w:rsidRPr="00112F56">
        <w:t>.</w:t>
      </w:r>
      <w:proofErr w:type="gramEnd"/>
      <w:r w:rsidRPr="00112F56">
        <w:t xml:space="preserve"> </w:t>
      </w:r>
      <w:proofErr w:type="gramStart"/>
      <w:r w:rsidRPr="00112F56">
        <w:t xml:space="preserve">English translation of the </w:t>
      </w:r>
      <w:r w:rsidRPr="00112F56">
        <w:rPr>
          <w:i/>
          <w:iCs/>
        </w:rPr>
        <w:t xml:space="preserve">Catechism of the Catholic Church: Modifications from the </w:t>
      </w:r>
      <w:proofErr w:type="spellStart"/>
      <w:r w:rsidRPr="00112F56">
        <w:rPr>
          <w:i/>
          <w:iCs/>
        </w:rPr>
        <w:t>Editio</w:t>
      </w:r>
      <w:proofErr w:type="spellEnd"/>
      <w:r w:rsidRPr="00112F56">
        <w:rPr>
          <w:i/>
          <w:iCs/>
        </w:rPr>
        <w:t xml:space="preserve"> </w:t>
      </w:r>
      <w:proofErr w:type="spellStart"/>
      <w:r w:rsidRPr="00112F56">
        <w:rPr>
          <w:i/>
          <w:iCs/>
        </w:rPr>
        <w:t>Typica</w:t>
      </w:r>
      <w:proofErr w:type="spellEnd"/>
      <w:r w:rsidRPr="00112F56">
        <w:t xml:space="preserve"> copyright © 1997 by the United States Catholic Conference, Inc.—</w:t>
      </w:r>
      <w:proofErr w:type="spellStart"/>
      <w:r w:rsidRPr="00112F56">
        <w:t>Libreria</w:t>
      </w:r>
      <w:proofErr w:type="spellEnd"/>
      <w:r w:rsidRPr="00112F56">
        <w:t xml:space="preserve"> </w:t>
      </w:r>
      <w:proofErr w:type="spellStart"/>
      <w:r w:rsidRPr="00112F56">
        <w:t>Editrice</w:t>
      </w:r>
      <w:proofErr w:type="spellEnd"/>
      <w:r w:rsidRPr="00112F56">
        <w:t xml:space="preserve"> </w:t>
      </w:r>
      <w:proofErr w:type="spellStart"/>
      <w:r w:rsidRPr="00112F56">
        <w:t>Vaticana</w:t>
      </w:r>
      <w:proofErr w:type="spellEnd"/>
      <w:r w:rsidRPr="00112F56">
        <w:t>.)</w:t>
      </w:r>
      <w:proofErr w:type="gramEnd"/>
    </w:p>
    <w:p w:rsidR="004C0CC8" w:rsidRPr="00073391" w:rsidRDefault="004C0CC8" w:rsidP="00073391">
      <w:pPr>
        <w:spacing w:after="200" w:line="276" w:lineRule="auto"/>
      </w:pPr>
    </w:p>
    <w:p w:rsidR="004C0CC8" w:rsidRPr="000E2FA4" w:rsidRDefault="004C0CC8" w:rsidP="00CD260F">
      <w:pPr>
        <w:spacing w:line="480" w:lineRule="auto"/>
        <w:rPr>
          <w:rFonts w:ascii="Book Antiqua" w:hAnsi="Book Antiqua" w:cs="Book Antiqua"/>
        </w:rPr>
      </w:pPr>
    </w:p>
    <w:sectPr w:rsidR="004C0CC8" w:rsidRPr="000E2FA4"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E14" w:rsidRDefault="00D03E14" w:rsidP="004D0079">
      <w:r>
        <w:separator/>
      </w:r>
    </w:p>
    <w:p w:rsidR="00D03E14" w:rsidRDefault="00D03E14"/>
  </w:endnote>
  <w:endnote w:type="continuationSeparator" w:id="0">
    <w:p w:rsidR="00D03E14" w:rsidRDefault="00D03E14" w:rsidP="004D0079">
      <w:r>
        <w:continuationSeparator/>
      </w:r>
    </w:p>
    <w:p w:rsidR="00D03E14" w:rsidRDefault="00D03E14"/>
  </w:endnote>
  <w:endnote w:id="1">
    <w:p w:rsidR="00D03E14" w:rsidRDefault="00D03E14" w:rsidP="00CE74E6">
      <w:r w:rsidRPr="00E02AAA">
        <w:rPr>
          <w:rStyle w:val="EndnoteReference"/>
          <w:sz w:val="18"/>
          <w:szCs w:val="18"/>
        </w:rPr>
        <w:endnoteRef/>
      </w:r>
      <w:r w:rsidRPr="00E02AAA">
        <w:rPr>
          <w:rFonts w:ascii="Arial" w:hAnsi="Arial" w:cs="Arial"/>
          <w:sz w:val="18"/>
          <w:szCs w:val="18"/>
        </w:rPr>
        <w:t xml:space="preserve"> Avery Dulles, </w:t>
      </w:r>
      <w:r w:rsidRPr="00E02AAA">
        <w:rPr>
          <w:rFonts w:ascii="Arial" w:hAnsi="Arial" w:cs="Arial"/>
          <w:i/>
          <w:iCs/>
          <w:sz w:val="18"/>
          <w:szCs w:val="18"/>
        </w:rPr>
        <w:t>Models of the Church</w:t>
      </w:r>
      <w:r w:rsidRPr="00E02AAA">
        <w:rPr>
          <w:rFonts w:ascii="Arial" w:hAnsi="Arial" w:cs="Arial"/>
          <w:sz w:val="18"/>
          <w:szCs w:val="18"/>
        </w:rPr>
        <w:t>, expanded ed.</w:t>
      </w:r>
      <w:r>
        <w:rPr>
          <w:rFonts w:ascii="Arial" w:hAnsi="Arial" w:cs="Arial"/>
          <w:sz w:val="18"/>
          <w:szCs w:val="18"/>
        </w:rPr>
        <w:t xml:space="preserve"> (New York: Image Books, 1987), pages 144–45.</w:t>
      </w:r>
    </w:p>
  </w:endnote>
  <w:endnote w:id="2">
    <w:p w:rsidR="00D03E14" w:rsidRDefault="00D03E14" w:rsidP="00CE74E6">
      <w:pPr>
        <w:pStyle w:val="EndnoteText"/>
      </w:pPr>
      <w:r w:rsidRPr="00E02AAA">
        <w:rPr>
          <w:rStyle w:val="EndnoteReference"/>
          <w:rFonts w:ascii="Arial" w:hAnsi="Arial" w:cs="Arial"/>
          <w:sz w:val="18"/>
          <w:szCs w:val="18"/>
        </w:rPr>
        <w:endnoteRef/>
      </w:r>
      <w:proofErr w:type="gramStart"/>
      <w:r w:rsidRPr="00E02AAA">
        <w:rPr>
          <w:rFonts w:ascii="Arial" w:hAnsi="Arial" w:cs="Arial"/>
          <w:sz w:val="18"/>
          <w:szCs w:val="18"/>
        </w:rPr>
        <w:t xml:space="preserve">Quoted in de </w:t>
      </w:r>
      <w:proofErr w:type="spellStart"/>
      <w:r w:rsidRPr="00E02AAA">
        <w:rPr>
          <w:rFonts w:ascii="Arial" w:hAnsi="Arial" w:cs="Arial"/>
          <w:sz w:val="18"/>
          <w:szCs w:val="18"/>
        </w:rPr>
        <w:t>Lubac</w:t>
      </w:r>
      <w:proofErr w:type="spellEnd"/>
      <w:r w:rsidRPr="00E02AAA">
        <w:rPr>
          <w:rFonts w:ascii="Arial" w:hAnsi="Arial" w:cs="Arial"/>
          <w:sz w:val="18"/>
          <w:szCs w:val="18"/>
        </w:rPr>
        <w:t xml:space="preserve">, </w:t>
      </w:r>
      <w:r w:rsidRPr="00E02AAA">
        <w:rPr>
          <w:rFonts w:ascii="Arial" w:hAnsi="Arial" w:cs="Arial"/>
          <w:i/>
          <w:iCs/>
          <w:sz w:val="18"/>
          <w:szCs w:val="18"/>
        </w:rPr>
        <w:t>Catholicism</w:t>
      </w:r>
      <w:r w:rsidRPr="00E02AAA">
        <w:rPr>
          <w:rFonts w:ascii="Arial" w:hAnsi="Arial" w:cs="Arial"/>
          <w:sz w:val="18"/>
          <w:szCs w:val="18"/>
        </w:rPr>
        <w:t>, 25.</w:t>
      </w:r>
      <w:proofErr w:type="gramEnd"/>
    </w:p>
  </w:endnote>
  <w:endnote w:id="3">
    <w:p w:rsidR="00D03E14" w:rsidRDefault="00D03E14" w:rsidP="007C7773">
      <w:pPr>
        <w:pStyle w:val="EndnoteText"/>
      </w:pPr>
      <w:r w:rsidRPr="00E02AAA">
        <w:rPr>
          <w:rStyle w:val="EndnoteReference"/>
          <w:rFonts w:ascii="Arial" w:hAnsi="Arial" w:cs="Arial"/>
          <w:sz w:val="18"/>
          <w:szCs w:val="18"/>
        </w:rPr>
        <w:endnoteRef/>
      </w:r>
      <w:r w:rsidRPr="00E02AAA">
        <w:rPr>
          <w:rFonts w:ascii="Arial" w:hAnsi="Arial" w:cs="Arial"/>
          <w:sz w:val="18"/>
          <w:szCs w:val="18"/>
        </w:rPr>
        <w:t xml:space="preserve"> On this connection, see Joseph </w:t>
      </w:r>
      <w:proofErr w:type="spellStart"/>
      <w:r w:rsidRPr="00E02AAA">
        <w:rPr>
          <w:rFonts w:ascii="Arial" w:hAnsi="Arial" w:cs="Arial"/>
          <w:sz w:val="18"/>
          <w:szCs w:val="18"/>
        </w:rPr>
        <w:t>Ratzinger</w:t>
      </w:r>
      <w:proofErr w:type="spellEnd"/>
      <w:r w:rsidRPr="00E02AAA">
        <w:rPr>
          <w:rFonts w:ascii="Arial" w:hAnsi="Arial" w:cs="Arial"/>
          <w:sz w:val="18"/>
          <w:szCs w:val="18"/>
        </w:rPr>
        <w:t xml:space="preserve">, </w:t>
      </w:r>
      <w:r w:rsidRPr="00E02AAA">
        <w:rPr>
          <w:rFonts w:ascii="Arial" w:hAnsi="Arial" w:cs="Arial"/>
          <w:i/>
          <w:iCs/>
          <w:sz w:val="18"/>
          <w:szCs w:val="18"/>
        </w:rPr>
        <w:t>God’s Word: Scripture, Tradition, Office</w:t>
      </w:r>
      <w:r w:rsidRPr="00E02AAA">
        <w:rPr>
          <w:rFonts w:ascii="Arial" w:hAnsi="Arial" w:cs="Arial"/>
          <w:sz w:val="18"/>
          <w:szCs w:val="18"/>
        </w:rPr>
        <w:t xml:space="preserve"> (San Francisco: Ignatius Press, 2005), 28</w:t>
      </w:r>
      <w:r>
        <w:rPr>
          <w:rFonts w:ascii="Arial" w:hAnsi="Arial" w:cs="Arial"/>
          <w:sz w:val="18"/>
          <w:szCs w:val="18"/>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14" w:rsidRPr="00F82D2A" w:rsidRDefault="004B16A1"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D03E14" w:rsidRPr="0050574F" w:rsidRDefault="00D03E14" w:rsidP="000318AE">
                <w:pPr>
                  <w:tabs>
                    <w:tab w:val="left" w:pos="5610"/>
                  </w:tabs>
                  <w:spacing w:line="276" w:lineRule="auto"/>
                  <w:rPr>
                    <w:rFonts w:ascii="Arial" w:hAnsi="Arial" w:cs="Arial"/>
                    <w:color w:val="000000"/>
                    <w:sz w:val="21"/>
                    <w:szCs w:val="21"/>
                  </w:rPr>
                </w:pPr>
                <w:r w:rsidRPr="0050574F">
                  <w:rPr>
                    <w:rFonts w:ascii="Arial" w:hAnsi="Arial" w:cs="Arial"/>
                    <w:color w:val="000000"/>
                    <w:sz w:val="21"/>
                    <w:szCs w:val="21"/>
                  </w:rPr>
                  <w:t>© 2010 by Saint Mary’s Press</w:t>
                </w:r>
              </w:p>
              <w:p w:rsidR="00D03E14" w:rsidRPr="000318AE" w:rsidRDefault="00D03E14" w:rsidP="000318AE">
                <w:pPr>
                  <w:tabs>
                    <w:tab w:val="right" w:pos="8550"/>
                  </w:tabs>
                  <w:rPr>
                    <w:rFonts w:ascii="Calibri" w:hAnsi="Calibri" w:cs="Calibri"/>
                    <w:color w:val="000000"/>
                    <w:sz w:val="22"/>
                    <w:szCs w:val="22"/>
                  </w:rPr>
                </w:pPr>
                <w:r w:rsidRPr="0050574F">
                  <w:rPr>
                    <w:rFonts w:ascii="Arial" w:hAnsi="Arial" w:cs="Arial"/>
                    <w:color w:val="000000"/>
                    <w:sz w:val="19"/>
                    <w:szCs w:val="19"/>
                  </w:rPr>
                  <w:t>Living in Christ Series</w:t>
                </w:r>
                <w:r w:rsidRPr="0050574F">
                  <w:rPr>
                    <w:rFonts w:ascii="Arial" w:hAnsi="Arial" w:cs="Arial"/>
                    <w:color w:val="000000"/>
                    <w:sz w:val="21"/>
                    <w:szCs w:val="21"/>
                  </w:rPr>
                  <w:tab/>
                </w:r>
                <w:r w:rsidRPr="0050574F">
                  <w:rPr>
                    <w:rFonts w:ascii="Arial" w:hAnsi="Arial" w:cs="Arial"/>
                    <w:color w:val="000000"/>
                    <w:sz w:val="18"/>
                    <w:szCs w:val="18"/>
                  </w:rPr>
                  <w:t xml:space="preserve">Document #: </w:t>
                </w:r>
                <w:r w:rsidRPr="00E02AAA">
                  <w:rPr>
                    <w:rFonts w:ascii="Arial" w:hAnsi="Arial" w:cs="Arial"/>
                    <w:color w:val="000000"/>
                    <w:sz w:val="18"/>
                    <w:szCs w:val="18"/>
                  </w:rPr>
                  <w:t>TX001537</w:t>
                </w:r>
              </w:p>
              <w:p w:rsidR="00D03E14" w:rsidRPr="000318AE" w:rsidRDefault="00D03E14" w:rsidP="000318AE"/>
            </w:txbxContent>
          </v:textbox>
        </v:shape>
      </w:pict>
    </w:r>
    <w:r w:rsidR="005826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14" w:rsidRDefault="004B16A1">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D03E14" w:rsidRPr="0050574F" w:rsidRDefault="00D03E14" w:rsidP="000318AE">
                <w:pPr>
                  <w:tabs>
                    <w:tab w:val="left" w:pos="5610"/>
                  </w:tabs>
                  <w:spacing w:line="276" w:lineRule="auto"/>
                  <w:rPr>
                    <w:rFonts w:ascii="Arial" w:hAnsi="Arial" w:cs="Arial"/>
                    <w:color w:val="000000"/>
                    <w:sz w:val="21"/>
                    <w:szCs w:val="21"/>
                  </w:rPr>
                </w:pPr>
                <w:r w:rsidRPr="0050574F">
                  <w:rPr>
                    <w:rFonts w:ascii="Arial" w:hAnsi="Arial" w:cs="Arial"/>
                    <w:color w:val="000000"/>
                    <w:sz w:val="21"/>
                    <w:szCs w:val="21"/>
                  </w:rPr>
                  <w:t>© 2010 by Saint Mary’s Press</w:t>
                </w:r>
              </w:p>
              <w:p w:rsidR="00D03E14" w:rsidRPr="000E1ADA" w:rsidRDefault="00D03E14" w:rsidP="00E02AAA">
                <w:pPr>
                  <w:tabs>
                    <w:tab w:val="right" w:pos="8550"/>
                  </w:tabs>
                  <w:rPr>
                    <w:sz w:val="18"/>
                    <w:szCs w:val="18"/>
                  </w:rPr>
                </w:pPr>
                <w:r w:rsidRPr="0050574F">
                  <w:rPr>
                    <w:rFonts w:ascii="Arial" w:hAnsi="Arial" w:cs="Arial"/>
                    <w:color w:val="000000"/>
                    <w:sz w:val="19"/>
                    <w:szCs w:val="19"/>
                  </w:rPr>
                  <w:t>Living in Christ Series</w:t>
                </w:r>
                <w:r w:rsidRPr="0050574F">
                  <w:rPr>
                    <w:rFonts w:ascii="Arial" w:hAnsi="Arial" w:cs="Arial"/>
                    <w:color w:val="000000"/>
                    <w:sz w:val="21"/>
                    <w:szCs w:val="21"/>
                  </w:rPr>
                  <w:tab/>
                </w:r>
                <w:r w:rsidRPr="0050574F">
                  <w:rPr>
                    <w:rFonts w:ascii="Arial" w:hAnsi="Arial" w:cs="Arial"/>
                    <w:color w:val="000000"/>
                    <w:sz w:val="18"/>
                    <w:szCs w:val="18"/>
                  </w:rPr>
                  <w:t xml:space="preserve">Document #: </w:t>
                </w:r>
                <w:r w:rsidRPr="00E02AAA">
                  <w:rPr>
                    <w:rFonts w:ascii="Arial" w:hAnsi="Arial" w:cs="Arial"/>
                    <w:color w:val="000000"/>
                    <w:sz w:val="18"/>
                    <w:szCs w:val="18"/>
                  </w:rPr>
                  <w:t>TX001537</w:t>
                </w:r>
              </w:p>
            </w:txbxContent>
          </v:textbox>
        </v:shape>
      </w:pict>
    </w:r>
    <w:r w:rsidR="005826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E14" w:rsidRDefault="00D03E14" w:rsidP="004D0079">
      <w:r>
        <w:separator/>
      </w:r>
    </w:p>
    <w:p w:rsidR="00D03E14" w:rsidRDefault="00D03E14"/>
  </w:footnote>
  <w:footnote w:type="continuationSeparator" w:id="0">
    <w:p w:rsidR="00D03E14" w:rsidRDefault="00D03E14" w:rsidP="004D0079">
      <w:r>
        <w:continuationSeparator/>
      </w:r>
    </w:p>
    <w:p w:rsidR="00D03E14" w:rsidRDefault="00D03E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14" w:rsidRDefault="00D03E14" w:rsidP="00DC08C5">
    <w:pPr>
      <w:pStyle w:val="A-Header-articletitlepage2"/>
      <w:rPr>
        <w:rFonts w:cs="Times New Roman"/>
      </w:rPr>
    </w:pPr>
    <w:r>
      <w:t>The Visible and the Invisible Church</w:t>
    </w:r>
    <w:r>
      <w:tab/>
    </w:r>
    <w:r w:rsidRPr="00F82D2A">
      <w:t xml:space="preserve">Page | </w:t>
    </w:r>
    <w:fldSimple w:instr=" PAGE   \* MERGEFORMAT ">
      <w:r w:rsidR="0058269F">
        <w:rPr>
          <w:noProof/>
        </w:rPr>
        <w:t>3</w:t>
      </w:r>
    </w:fldSimple>
  </w:p>
  <w:p w:rsidR="00D03E14" w:rsidRDefault="00D03E14"/>
  <w:p w:rsidR="00D03E14" w:rsidRDefault="00D03E1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9E22EC5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E0024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2F44B0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A44760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170220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3"/>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4"/>
  </w:num>
  <w:num w:numId="18">
    <w:abstractNumId w:val="18"/>
  </w:num>
  <w:num w:numId="19">
    <w:abstractNumId w:val="14"/>
  </w:num>
  <w:num w:numId="20">
    <w:abstractNumId w:val="37"/>
  </w:num>
  <w:num w:numId="21">
    <w:abstractNumId w:val="36"/>
  </w:num>
  <w:num w:numId="22">
    <w:abstractNumId w:val="22"/>
  </w:num>
  <w:num w:numId="23">
    <w:abstractNumId w:val="23"/>
  </w:num>
  <w:num w:numId="24">
    <w:abstractNumId w:val="35"/>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73391"/>
    <w:rsid w:val="00084EB9"/>
    <w:rsid w:val="00093CB0"/>
    <w:rsid w:val="000A391A"/>
    <w:rsid w:val="000B4E68"/>
    <w:rsid w:val="000C5F25"/>
    <w:rsid w:val="000D0483"/>
    <w:rsid w:val="000D1A53"/>
    <w:rsid w:val="000D5ED9"/>
    <w:rsid w:val="000E1ADA"/>
    <w:rsid w:val="000E2FA4"/>
    <w:rsid w:val="000E564B"/>
    <w:rsid w:val="000F66F6"/>
    <w:rsid w:val="000F6CCE"/>
    <w:rsid w:val="00103E1C"/>
    <w:rsid w:val="00105357"/>
    <w:rsid w:val="00112F56"/>
    <w:rsid w:val="00113BB9"/>
    <w:rsid w:val="00116F0E"/>
    <w:rsid w:val="00122197"/>
    <w:rsid w:val="001309E6"/>
    <w:rsid w:val="001334C6"/>
    <w:rsid w:val="0013592A"/>
    <w:rsid w:val="00152401"/>
    <w:rsid w:val="00155E24"/>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4E6A"/>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71B"/>
    <w:rsid w:val="004A3116"/>
    <w:rsid w:val="004A7DE2"/>
    <w:rsid w:val="004B0196"/>
    <w:rsid w:val="004B16A1"/>
    <w:rsid w:val="004C0CC8"/>
    <w:rsid w:val="004C3D3E"/>
    <w:rsid w:val="004C5561"/>
    <w:rsid w:val="004D0079"/>
    <w:rsid w:val="004D74F6"/>
    <w:rsid w:val="004D7A2E"/>
    <w:rsid w:val="004E5DFC"/>
    <w:rsid w:val="004F30D7"/>
    <w:rsid w:val="00500FAD"/>
    <w:rsid w:val="0050574F"/>
    <w:rsid w:val="005127A4"/>
    <w:rsid w:val="00515FA7"/>
    <w:rsid w:val="00525EA2"/>
    <w:rsid w:val="00545244"/>
    <w:rsid w:val="00550CC9"/>
    <w:rsid w:val="00555CB8"/>
    <w:rsid w:val="00555EA6"/>
    <w:rsid w:val="00576968"/>
    <w:rsid w:val="00577877"/>
    <w:rsid w:val="0058269F"/>
    <w:rsid w:val="005A4359"/>
    <w:rsid w:val="005A6944"/>
    <w:rsid w:val="005B03BF"/>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DBF"/>
    <w:rsid w:val="006E4F88"/>
    <w:rsid w:val="006F5958"/>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81027"/>
    <w:rsid w:val="00781585"/>
    <w:rsid w:val="00784075"/>
    <w:rsid w:val="00786E12"/>
    <w:rsid w:val="007B3A76"/>
    <w:rsid w:val="007C7773"/>
    <w:rsid w:val="007D41EB"/>
    <w:rsid w:val="007E01EA"/>
    <w:rsid w:val="007F14E0"/>
    <w:rsid w:val="007F1D2D"/>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E36EB"/>
    <w:rsid w:val="008F12F7"/>
    <w:rsid w:val="008F22A0"/>
    <w:rsid w:val="008F58B2"/>
    <w:rsid w:val="009064EC"/>
    <w:rsid w:val="00933E81"/>
    <w:rsid w:val="00935DA6"/>
    <w:rsid w:val="00941920"/>
    <w:rsid w:val="00945A73"/>
    <w:rsid w:val="009563C5"/>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66C4F"/>
    <w:rsid w:val="00A70CF3"/>
    <w:rsid w:val="00A76A97"/>
    <w:rsid w:val="00A82B01"/>
    <w:rsid w:val="00A8313D"/>
    <w:rsid w:val="00AA7F49"/>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E74E6"/>
    <w:rsid w:val="00CF05DA"/>
    <w:rsid w:val="00D03E14"/>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D28A2"/>
    <w:rsid w:val="00E02AAA"/>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styleId="Header">
    <w:name w:val="header"/>
    <w:basedOn w:val="Normal"/>
    <w:link w:val="HeaderChar"/>
    <w:uiPriority w:val="99"/>
    <w:rsid w:val="006E4DBF"/>
    <w:pPr>
      <w:tabs>
        <w:tab w:val="center" w:pos="4680"/>
        <w:tab w:val="right" w:pos="9360"/>
      </w:tabs>
    </w:pPr>
  </w:style>
  <w:style w:type="character" w:customStyle="1" w:styleId="HeaderChar">
    <w:name w:val="Header Char"/>
    <w:basedOn w:val="DefaultParagraphFont"/>
    <w:link w:val="Header"/>
    <w:uiPriority w:val="99"/>
    <w:locked/>
    <w:rsid w:val="006E4DBF"/>
    <w:rPr>
      <w:rFonts w:ascii="Times New Roman" w:hAnsi="Times New Roman" w:cs="Times New Roman"/>
      <w:sz w:val="20"/>
      <w:szCs w:val="20"/>
    </w:rPr>
  </w:style>
  <w:style w:type="character" w:styleId="Emphasis">
    <w:name w:val="Emphasis"/>
    <w:basedOn w:val="DefaultParagraphFont"/>
    <w:uiPriority w:val="99"/>
    <w:qFormat/>
    <w:locked/>
    <w:rsid w:val="00112F56"/>
    <w:rPr>
      <w:i/>
      <w:iCs/>
    </w:rPr>
  </w:style>
</w:styles>
</file>

<file path=word/webSettings.xml><?xml version="1.0" encoding="utf-8"?>
<w:webSettings xmlns:r="http://schemas.openxmlformats.org/officeDocument/2006/relationships" xmlns:w="http://schemas.openxmlformats.org/wordprocessingml/2006/main">
  <w:divs>
    <w:div w:id="897398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1285</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8</cp:revision>
  <cp:lastPrinted>2010-01-08T18:19:00Z</cp:lastPrinted>
  <dcterms:created xsi:type="dcterms:W3CDTF">2010-11-17T22:28:00Z</dcterms:created>
  <dcterms:modified xsi:type="dcterms:W3CDTF">2010-12-15T03:10:00Z</dcterms:modified>
</cp:coreProperties>
</file>