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74" w:rsidRPr="00D52762" w:rsidRDefault="002B0774" w:rsidP="009851F7">
      <w:pPr>
        <w:pStyle w:val="A-BH"/>
      </w:pPr>
      <w:r w:rsidRPr="00D52762">
        <w:t xml:space="preserve">Rubric for Final Performance Tasks </w:t>
      </w:r>
      <w:r w:rsidR="008C0D48">
        <w:br/>
        <w:t xml:space="preserve">for </w:t>
      </w:r>
      <w:r w:rsidRPr="00D52762">
        <w:t xml:space="preserve">Unit </w:t>
      </w:r>
      <w:r>
        <w:t>5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1890"/>
        <w:gridCol w:w="1800"/>
        <w:gridCol w:w="1800"/>
        <w:gridCol w:w="1800"/>
      </w:tblGrid>
      <w:tr w:rsidR="002B0774" w:rsidRPr="00D52762" w:rsidTr="0045512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9851F7" w:rsidRDefault="002B0774" w:rsidP="00E60562">
            <w:pPr>
              <w:pStyle w:val="A-ChartHeads"/>
              <w:spacing w:before="40"/>
              <w:jc w:val="center"/>
            </w:pPr>
            <w:r w:rsidRPr="009851F7">
              <w:t>Criteria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60562">
            <w:pPr>
              <w:pStyle w:val="A-ChartHeads"/>
              <w:spacing w:before="40"/>
              <w:jc w:val="center"/>
            </w:pPr>
            <w:r w:rsidRPr="00D52762"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60562">
            <w:pPr>
              <w:pStyle w:val="A-ChartHeads"/>
              <w:spacing w:before="40"/>
              <w:jc w:val="center"/>
            </w:pPr>
            <w:r w:rsidRPr="00D52762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60562">
            <w:pPr>
              <w:pStyle w:val="A-ChartHeads"/>
              <w:spacing w:before="40"/>
              <w:jc w:val="center"/>
            </w:pPr>
            <w:r w:rsidRPr="00D52762"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60562">
            <w:pPr>
              <w:pStyle w:val="A-ChartHeads"/>
              <w:spacing w:before="40"/>
              <w:jc w:val="center"/>
            </w:pPr>
            <w:r w:rsidRPr="00D52762">
              <w:t>1</w:t>
            </w:r>
          </w:p>
        </w:tc>
      </w:tr>
      <w:tr w:rsidR="002B0774" w:rsidRPr="00D52762" w:rsidTr="0045512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9851F7" w:rsidRDefault="002B0774" w:rsidP="00E76F44">
            <w:pPr>
              <w:pStyle w:val="A-ChartText"/>
              <w:spacing w:before="40"/>
              <w:rPr>
                <w:b/>
                <w:bCs/>
              </w:rPr>
            </w:pPr>
            <w:r w:rsidRPr="009851F7">
              <w:rPr>
                <w:b/>
                <w:bCs/>
              </w:rPr>
              <w:t>Assignment includes all items requested in the instructions.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8C0D48" w:rsidP="00E76F44">
            <w:pPr>
              <w:pStyle w:val="A-ChartText"/>
              <w:spacing w:before="40"/>
            </w:pPr>
            <w:r>
              <w:rPr>
                <w:szCs w:val="24"/>
              </w:rPr>
              <w:t>Assignment includes all items requested, and they are completed above expectations.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includes all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includes over half of the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includes less than half of the items requested.</w:t>
            </w:r>
          </w:p>
        </w:tc>
      </w:tr>
      <w:tr w:rsidR="002B0774" w:rsidRPr="00D52762" w:rsidTr="0045512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9851F7" w:rsidRDefault="002B0774" w:rsidP="00E76F44">
            <w:pPr>
              <w:pStyle w:val="A-ChartText"/>
              <w:spacing w:before="40"/>
              <w:rPr>
                <w:b/>
                <w:bCs/>
              </w:rPr>
            </w:pPr>
            <w:r w:rsidRPr="009851F7">
              <w:rPr>
                <w:b/>
                <w:bCs/>
              </w:rPr>
              <w:t>Assignment shows understanding of the concept</w:t>
            </w:r>
            <w:r w:rsidR="00A74DAC">
              <w:rPr>
                <w:b/>
                <w:bCs/>
              </w:rPr>
              <w:t>:</w:t>
            </w:r>
            <w:r w:rsidRPr="009851F7">
              <w:rPr>
                <w:b/>
                <w:bCs/>
              </w:rPr>
              <w:t xml:space="preserve"> </w:t>
            </w:r>
            <w:r w:rsidR="00A74DAC">
              <w:rPr>
                <w:rFonts w:cs="Book Antiqua"/>
                <w:b/>
                <w:i/>
              </w:rPr>
              <w:t>the Gospel of John</w:t>
            </w:r>
            <w:r w:rsidR="008C0D48" w:rsidRPr="008C0D48">
              <w:rPr>
                <w:rFonts w:cs="Book Antiqua"/>
                <w:b/>
                <w:i/>
              </w:rPr>
              <w:t>, though presenting an authentic</w:t>
            </w:r>
            <w:r w:rsidRPr="009851F7">
              <w:rPr>
                <w:rFonts w:cs="Book Antiqua"/>
                <w:b/>
                <w:i/>
              </w:rPr>
              <w:t xml:space="preserve"> account of Jesus’ </w:t>
            </w:r>
            <w:r w:rsidR="00706237" w:rsidRPr="00706237">
              <w:rPr>
                <w:rFonts w:cs="Book Antiqua"/>
                <w:b/>
                <w:i/>
              </w:rPr>
              <w:t>earthly</w:t>
            </w:r>
            <w:r w:rsidR="00706237">
              <w:rPr>
                <w:rFonts w:cs="Book Antiqua"/>
                <w:b/>
                <w:i/>
              </w:rPr>
              <w:t xml:space="preserve"> </w:t>
            </w:r>
            <w:r w:rsidRPr="009851F7">
              <w:rPr>
                <w:rFonts w:cs="Book Antiqua"/>
                <w:b/>
                <w:i/>
              </w:rPr>
              <w:t>ministry</w:t>
            </w:r>
            <w:r w:rsidR="00706237">
              <w:rPr>
                <w:rFonts w:cs="Book Antiqua"/>
                <w:b/>
                <w:i/>
              </w:rPr>
              <w:t>,</w:t>
            </w:r>
            <w:r w:rsidRPr="009851F7">
              <w:rPr>
                <w:rFonts w:cs="Book Antiqua"/>
                <w:b/>
                <w:i/>
              </w:rPr>
              <w:t xml:space="preserve"> differs </w:t>
            </w:r>
            <w:r w:rsidR="00706237" w:rsidRPr="00706237">
              <w:rPr>
                <w:rFonts w:cs="Book Antiqua"/>
                <w:b/>
                <w:i/>
              </w:rPr>
              <w:t>in many significant ways</w:t>
            </w:r>
            <w:r w:rsidR="00706237">
              <w:rPr>
                <w:rFonts w:cs="Book Antiqua"/>
                <w:b/>
                <w:i/>
              </w:rPr>
              <w:t xml:space="preserve"> </w:t>
            </w:r>
            <w:r w:rsidRPr="009851F7">
              <w:rPr>
                <w:rFonts w:cs="Book Antiqua"/>
                <w:b/>
                <w:i/>
              </w:rPr>
              <w:t>from the synoptic Gospels.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good understanding of this concept.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2B0774" w:rsidRPr="00D52762" w:rsidTr="0045512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9851F7" w:rsidRDefault="002B0774" w:rsidP="00E76F44">
            <w:pPr>
              <w:pStyle w:val="A-ChartText"/>
              <w:spacing w:before="40"/>
              <w:rPr>
                <w:b/>
                <w:bCs/>
              </w:rPr>
            </w:pPr>
            <w:r w:rsidRPr="009851F7">
              <w:rPr>
                <w:b/>
                <w:bCs/>
              </w:rPr>
              <w:t>Assignment shows understanding of the concept</w:t>
            </w:r>
            <w:r w:rsidR="00A74DAC">
              <w:rPr>
                <w:b/>
                <w:bCs/>
              </w:rPr>
              <w:t>:</w:t>
            </w:r>
            <w:r w:rsidRPr="009851F7">
              <w:rPr>
                <w:b/>
                <w:bCs/>
              </w:rPr>
              <w:t xml:space="preserve"> </w:t>
            </w:r>
            <w:r w:rsidRPr="009851F7">
              <w:rPr>
                <w:b/>
                <w:bCs/>
                <w:i/>
              </w:rPr>
              <w:t>the Gospel of John emphasiz</w:t>
            </w:r>
            <w:r w:rsidR="008C0D48">
              <w:rPr>
                <w:b/>
                <w:bCs/>
                <w:i/>
              </w:rPr>
              <w:t>es Jesus’ identity as the Word Made F</w:t>
            </w:r>
            <w:r w:rsidRPr="009851F7">
              <w:rPr>
                <w:b/>
                <w:bCs/>
                <w:i/>
              </w:rPr>
              <w:t>lesh.</w:t>
            </w:r>
            <w:r w:rsidR="00706237">
              <w:rPr>
                <w:b/>
                <w:bCs/>
                <w:i/>
              </w:rPr>
              <w:t xml:space="preserve"> </w:t>
            </w:r>
            <w:r w:rsidR="00706237" w:rsidRPr="00706237">
              <w:rPr>
                <w:b/>
                <w:bCs/>
                <w:i/>
              </w:rPr>
              <w:t>This theme is evident in Jesus’ “I AM” statements.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2B0774" w:rsidRPr="00D52762" w:rsidTr="0045512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9851F7" w:rsidRDefault="002B0774" w:rsidP="00E76F44">
            <w:pPr>
              <w:pStyle w:val="A-ChartText"/>
              <w:spacing w:before="40"/>
              <w:rPr>
                <w:b/>
                <w:bCs/>
              </w:rPr>
            </w:pPr>
            <w:r w:rsidRPr="009851F7">
              <w:rPr>
                <w:b/>
                <w:bCs/>
              </w:rPr>
              <w:t>Assignment shows understanding of the concept</w:t>
            </w:r>
            <w:r w:rsidR="00A74DAC">
              <w:rPr>
                <w:b/>
                <w:bCs/>
              </w:rPr>
              <w:t>:</w:t>
            </w:r>
            <w:r w:rsidRPr="009851F7">
              <w:rPr>
                <w:b/>
                <w:bCs/>
              </w:rPr>
              <w:t xml:space="preserve"> </w:t>
            </w:r>
            <w:r w:rsidRPr="009851F7">
              <w:rPr>
                <w:b/>
                <w:bCs/>
                <w:i/>
              </w:rPr>
              <w:t xml:space="preserve">in the Last Supper Discourse in the Gospel of John, Jesus prepares the disciples for events </w:t>
            </w:r>
            <w:r w:rsidR="00EA742E" w:rsidRPr="009851F7">
              <w:rPr>
                <w:b/>
                <w:bCs/>
                <w:i/>
              </w:rPr>
              <w:t xml:space="preserve">to come </w:t>
            </w:r>
            <w:r w:rsidRPr="009851F7">
              <w:rPr>
                <w:b/>
                <w:bCs/>
                <w:i/>
              </w:rPr>
              <w:t xml:space="preserve">as well as </w:t>
            </w:r>
            <w:r w:rsidR="00B02B8A" w:rsidRPr="009851F7">
              <w:rPr>
                <w:b/>
                <w:bCs/>
                <w:i/>
              </w:rPr>
              <w:t xml:space="preserve">for </w:t>
            </w:r>
            <w:r w:rsidRPr="009851F7">
              <w:rPr>
                <w:b/>
                <w:bCs/>
                <w:i/>
              </w:rPr>
              <w:t>their</w:t>
            </w:r>
            <w:r w:rsidR="00706237">
              <w:rPr>
                <w:b/>
                <w:bCs/>
                <w:i/>
              </w:rPr>
              <w:t xml:space="preserve"> future</w:t>
            </w:r>
            <w:r w:rsidRPr="009851F7">
              <w:rPr>
                <w:b/>
                <w:bCs/>
                <w:i/>
              </w:rPr>
              <w:t xml:space="preserve"> life as a community of believers.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2B0774" w:rsidRPr="00D52762" w:rsidTr="0045512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9851F7" w:rsidRDefault="002B0774" w:rsidP="00706237">
            <w:pPr>
              <w:pStyle w:val="A-ChartText"/>
              <w:spacing w:before="40"/>
              <w:rPr>
                <w:b/>
                <w:bCs/>
              </w:rPr>
            </w:pPr>
            <w:r w:rsidRPr="009851F7">
              <w:rPr>
                <w:b/>
                <w:bCs/>
              </w:rPr>
              <w:t>Assignment shows understanding of the concept</w:t>
            </w:r>
            <w:r w:rsidR="00A74DAC">
              <w:rPr>
                <w:b/>
                <w:bCs/>
              </w:rPr>
              <w:t>:</w:t>
            </w:r>
            <w:r w:rsidRPr="009851F7">
              <w:rPr>
                <w:b/>
                <w:bCs/>
              </w:rPr>
              <w:t xml:space="preserve"> </w:t>
            </w:r>
            <w:r w:rsidRPr="009851F7">
              <w:rPr>
                <w:b/>
                <w:bCs/>
                <w:i/>
                <w:iCs/>
              </w:rPr>
              <w:t>in John’s Gospel, Jesus’ teaching stresses his relationship with God the Father and our relationship with Jesus.</w:t>
            </w:r>
            <w:r w:rsidR="00706237">
              <w:rPr>
                <w:b/>
                <w:bCs/>
                <w:i/>
                <w:iCs/>
              </w:rPr>
              <w:t xml:space="preserve"> </w:t>
            </w:r>
            <w:r w:rsidR="00706237" w:rsidRPr="00706237">
              <w:rPr>
                <w:b/>
                <w:bCs/>
                <w:i/>
                <w:iCs/>
              </w:rPr>
              <w:t>Only after Jesus’ death and Resurrection did the disciples understand</w:t>
            </w:r>
            <w:r w:rsidR="00706237">
              <w:rPr>
                <w:b/>
                <w:bCs/>
                <w:i/>
                <w:iCs/>
              </w:rPr>
              <w:t xml:space="preserve"> </w:t>
            </w:r>
            <w:r w:rsidR="00706237" w:rsidRPr="00706237">
              <w:rPr>
                <w:b/>
                <w:bCs/>
                <w:i/>
                <w:iCs/>
              </w:rPr>
              <w:t>the significance of what Jesus said and did.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2B0774" w:rsidRPr="00D52762" w:rsidTr="0045512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9851F7" w:rsidRDefault="002B0774" w:rsidP="00E76F44">
            <w:pPr>
              <w:pStyle w:val="A-ChartText"/>
              <w:spacing w:before="40"/>
              <w:rPr>
                <w:b/>
                <w:bCs/>
              </w:rPr>
            </w:pPr>
            <w:r w:rsidRPr="009851F7">
              <w:rPr>
                <w:b/>
                <w:bCs/>
              </w:rPr>
              <w:t>Assignment uses proper grammar and spelling.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has no grammar or spelling errors.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has one grammar or spelling error.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has two grammar or spelling errors.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has more than two grammar or spelling errors.</w:t>
            </w:r>
          </w:p>
        </w:tc>
      </w:tr>
      <w:tr w:rsidR="002B0774" w:rsidRPr="00D52762" w:rsidTr="0045512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9851F7" w:rsidRDefault="002B0774" w:rsidP="00E76F44">
            <w:pPr>
              <w:pStyle w:val="A-ChartText"/>
              <w:spacing w:before="40"/>
              <w:rPr>
                <w:b/>
                <w:bCs/>
              </w:rPr>
            </w:pPr>
            <w:r w:rsidRPr="009851F7">
              <w:rPr>
                <w:b/>
                <w:bCs/>
              </w:rPr>
              <w:t>Assignment is neatly done.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A74DAC" w:rsidP="00E76F44">
            <w:pPr>
              <w:pStyle w:val="A-ChartText"/>
              <w:spacing w:before="40"/>
            </w:pPr>
            <w:r>
              <w:t xml:space="preserve">Assignment </w:t>
            </w:r>
            <w:r w:rsidR="002B0774" w:rsidRPr="00D52762">
              <w:t xml:space="preserve">not only </w:t>
            </w:r>
            <w:r>
              <w:t xml:space="preserve">is </w:t>
            </w:r>
            <w:r w:rsidR="002B0774" w:rsidRPr="00D52762">
              <w:t>neat but is exceptionally creative.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is neatly done.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is neat for the most part.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4" w:rsidRPr="00D52762" w:rsidRDefault="002B0774" w:rsidP="00E76F44">
            <w:pPr>
              <w:pStyle w:val="A-ChartText"/>
              <w:spacing w:before="40"/>
            </w:pPr>
            <w:r w:rsidRPr="00D52762">
              <w:t>Assignment is not neat.</w:t>
            </w:r>
          </w:p>
        </w:tc>
      </w:tr>
    </w:tbl>
    <w:p w:rsidR="00AB7193" w:rsidRPr="002B0774" w:rsidRDefault="00AB7193" w:rsidP="002B0774"/>
    <w:sectPr w:rsidR="00AB7193" w:rsidRPr="002B0774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25" w:rsidRDefault="00AA0725" w:rsidP="004D0079">
      <w:r>
        <w:separator/>
      </w:r>
    </w:p>
    <w:p w:rsidR="00AA0725" w:rsidRDefault="00AA0725"/>
  </w:endnote>
  <w:endnote w:type="continuationSeparator" w:id="0">
    <w:p w:rsidR="00AA0725" w:rsidRDefault="00AA0725" w:rsidP="004D0079">
      <w:r>
        <w:continuationSeparator/>
      </w:r>
    </w:p>
    <w:p w:rsidR="00AA0725" w:rsidRDefault="00AA0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Pr="00F82D2A" w:rsidRDefault="0045512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36D34" w:rsidRPr="00536D3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TX001749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5512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1B6736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38493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EA742E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36D34" w:rsidRPr="00536D3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TX001749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25" w:rsidRDefault="00AA0725" w:rsidP="004D0079">
      <w:r>
        <w:separator/>
      </w:r>
    </w:p>
    <w:p w:rsidR="00AA0725" w:rsidRDefault="00AA0725"/>
  </w:footnote>
  <w:footnote w:type="continuationSeparator" w:id="0">
    <w:p w:rsidR="00AA0725" w:rsidRDefault="00AA0725" w:rsidP="004D0079">
      <w:r>
        <w:continuationSeparator/>
      </w:r>
    </w:p>
    <w:p w:rsidR="00AA0725" w:rsidRDefault="00AA07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/>
  <w:p w:rsidR="004156D3" w:rsidRDefault="004156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2B0774" w:rsidP="00DC08C5">
    <w:pPr>
      <w:pStyle w:val="A-Header-articletitlepage2"/>
    </w:pPr>
    <w:r w:rsidRPr="00D52762">
      <w:t xml:space="preserve">Rubric for Final Performance Tasks in Unit </w:t>
    </w:r>
    <w:r>
      <w:t>5</w:t>
    </w:r>
    <w:r w:rsidR="004156D3">
      <w:tab/>
    </w:r>
    <w:r w:rsidR="004156D3" w:rsidRPr="00F82D2A">
      <w:t xml:space="preserve">Page | </w:t>
    </w:r>
    <w:r w:rsidR="00A432D4">
      <w:fldChar w:fldCharType="begin"/>
    </w:r>
    <w:r w:rsidR="00960606">
      <w:instrText xml:space="preserve"> PAGE   \* MERGEFORMAT </w:instrText>
    </w:r>
    <w:r w:rsidR="00A432D4">
      <w:fldChar w:fldCharType="separate"/>
    </w:r>
    <w:r w:rsidR="00455123">
      <w:rPr>
        <w:noProof/>
      </w:rPr>
      <w:t>2</w:t>
    </w:r>
    <w:r w:rsidR="00A432D4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44" w:rsidRDefault="00A74DAC" w:rsidP="00E76F44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E76F44">
      <w:rPr>
        <w:rFonts w:ascii="Arial" w:hAnsi="Arial" w:cs="Arial"/>
        <w:color w:val="000000"/>
        <w:vertAlign w:val="superscript"/>
      </w:rPr>
      <w:t>®</w:t>
    </w:r>
    <w:r w:rsidR="00E76F44">
      <w:rPr>
        <w:rFonts w:ascii="Arial" w:hAnsi="Arial" w:cs="Arial"/>
        <w:color w:val="000000"/>
      </w:rPr>
      <w:t xml:space="preserve"> Teacher Guide</w:t>
    </w:r>
  </w:p>
  <w:p w:rsidR="00E76F44" w:rsidRDefault="00E76F44" w:rsidP="00E76F44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E76F44" w:rsidRDefault="004156D3" w:rsidP="00E76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6EC"/>
    <w:rsid w:val="00056DA9"/>
    <w:rsid w:val="000773FD"/>
    <w:rsid w:val="00084EB9"/>
    <w:rsid w:val="00091771"/>
    <w:rsid w:val="00093CB0"/>
    <w:rsid w:val="000A391A"/>
    <w:rsid w:val="000A4A23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9539C"/>
    <w:rsid w:val="001A69EC"/>
    <w:rsid w:val="001B3767"/>
    <w:rsid w:val="001B4972"/>
    <w:rsid w:val="001B5767"/>
    <w:rsid w:val="001B6736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53EB"/>
    <w:rsid w:val="00236F06"/>
    <w:rsid w:val="002462B2"/>
    <w:rsid w:val="00254E02"/>
    <w:rsid w:val="00261080"/>
    <w:rsid w:val="00265087"/>
    <w:rsid w:val="002724DB"/>
    <w:rsid w:val="00272AE8"/>
    <w:rsid w:val="00284A63"/>
    <w:rsid w:val="0029009D"/>
    <w:rsid w:val="00292C4F"/>
    <w:rsid w:val="002A4E6A"/>
    <w:rsid w:val="002B0774"/>
    <w:rsid w:val="002D0851"/>
    <w:rsid w:val="002E0443"/>
    <w:rsid w:val="002E1A1D"/>
    <w:rsid w:val="002E77F4"/>
    <w:rsid w:val="002F3670"/>
    <w:rsid w:val="002F78AB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3E8A"/>
    <w:rsid w:val="003365CF"/>
    <w:rsid w:val="00340334"/>
    <w:rsid w:val="003477AC"/>
    <w:rsid w:val="0037014E"/>
    <w:rsid w:val="003739CB"/>
    <w:rsid w:val="0038139E"/>
    <w:rsid w:val="00384932"/>
    <w:rsid w:val="00394AF1"/>
    <w:rsid w:val="003B0E7A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55123"/>
    <w:rsid w:val="00460918"/>
    <w:rsid w:val="0046552F"/>
    <w:rsid w:val="00471D57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17BB1"/>
    <w:rsid w:val="00536D34"/>
    <w:rsid w:val="00545244"/>
    <w:rsid w:val="00555CB8"/>
    <w:rsid w:val="00555EA6"/>
    <w:rsid w:val="0058460F"/>
    <w:rsid w:val="005A027C"/>
    <w:rsid w:val="005A4359"/>
    <w:rsid w:val="005A6944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52A68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06237"/>
    <w:rsid w:val="007137D5"/>
    <w:rsid w:val="0073114D"/>
    <w:rsid w:val="00736AC9"/>
    <w:rsid w:val="00745B49"/>
    <w:rsid w:val="0074663C"/>
    <w:rsid w:val="00750DCB"/>
    <w:rsid w:val="007554A3"/>
    <w:rsid w:val="0075559F"/>
    <w:rsid w:val="007800EA"/>
    <w:rsid w:val="00781027"/>
    <w:rsid w:val="00781585"/>
    <w:rsid w:val="00784075"/>
    <w:rsid w:val="00786E12"/>
    <w:rsid w:val="007A1C39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0D48"/>
    <w:rsid w:val="008C2FC3"/>
    <w:rsid w:val="008D10BC"/>
    <w:rsid w:val="008F12F7"/>
    <w:rsid w:val="008F22A0"/>
    <w:rsid w:val="008F58B2"/>
    <w:rsid w:val="009064EC"/>
    <w:rsid w:val="00931F4E"/>
    <w:rsid w:val="00933E81"/>
    <w:rsid w:val="0093655B"/>
    <w:rsid w:val="00943034"/>
    <w:rsid w:val="00945A73"/>
    <w:rsid w:val="009563C5"/>
    <w:rsid w:val="00960606"/>
    <w:rsid w:val="00972002"/>
    <w:rsid w:val="009851F7"/>
    <w:rsid w:val="00993DC5"/>
    <w:rsid w:val="00997818"/>
    <w:rsid w:val="009A287C"/>
    <w:rsid w:val="009C6526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32D4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4DAC"/>
    <w:rsid w:val="00A82B01"/>
    <w:rsid w:val="00A8313D"/>
    <w:rsid w:val="00A84DF8"/>
    <w:rsid w:val="00A86121"/>
    <w:rsid w:val="00A86550"/>
    <w:rsid w:val="00A931FF"/>
    <w:rsid w:val="00A965CB"/>
    <w:rsid w:val="00AA0725"/>
    <w:rsid w:val="00AA7F49"/>
    <w:rsid w:val="00AB7193"/>
    <w:rsid w:val="00AD6F0C"/>
    <w:rsid w:val="00AD7A51"/>
    <w:rsid w:val="00AF2A78"/>
    <w:rsid w:val="00AF4B1B"/>
    <w:rsid w:val="00AF64D0"/>
    <w:rsid w:val="00B02B8A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A0CDE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57A87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D02316"/>
    <w:rsid w:val="00D04A29"/>
    <w:rsid w:val="00D105EA"/>
    <w:rsid w:val="00D14D22"/>
    <w:rsid w:val="00D2519A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1562"/>
    <w:rsid w:val="00E51E59"/>
    <w:rsid w:val="00E60562"/>
    <w:rsid w:val="00E7545A"/>
    <w:rsid w:val="00E76F44"/>
    <w:rsid w:val="00EA742E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0927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83A05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76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F4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55A1-191D-4DC9-A867-A27FDB23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16</cp:revision>
  <cp:lastPrinted>2011-05-13T14:01:00Z</cp:lastPrinted>
  <dcterms:created xsi:type="dcterms:W3CDTF">2011-02-25T13:42:00Z</dcterms:created>
  <dcterms:modified xsi:type="dcterms:W3CDTF">2011-05-13T14:04:00Z</dcterms:modified>
</cp:coreProperties>
</file>