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F8" w:rsidRDefault="00B15DF8" w:rsidP="00244F77">
      <w:pPr>
        <w:pStyle w:val="A-BH"/>
        <w:rPr>
          <w:rFonts w:cs="Times New Roman"/>
        </w:rPr>
      </w:pPr>
      <w:r w:rsidRPr="00CF07A3">
        <w:t>Identifying Symbols and Rituals</w:t>
      </w:r>
    </w:p>
    <w:p w:rsidR="00B15DF8" w:rsidRPr="00372879" w:rsidRDefault="00B15DF8" w:rsidP="00244F77">
      <w:pPr>
        <w:pStyle w:val="A-Text"/>
        <w:spacing w:after="240"/>
      </w:pPr>
      <w:r w:rsidRPr="00372879">
        <w:t>The following objects or actions can be understood as symbols. Some actions, but not all, are rituals. As specifically as you can, identify the object or action as a symbol or a ritual. Explain the abstract meaning each communicates. Add your own examples at the end. Use t</w:t>
      </w:r>
      <w:r w:rsidR="003C472F">
        <w:t>he following examples as models.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2605"/>
        <w:gridCol w:w="3489"/>
      </w:tblGrid>
      <w:tr w:rsidR="00B15DF8" w:rsidRPr="004E09CD">
        <w:trPr>
          <w:cantSplit/>
          <w:trHeight w:hRule="exact" w:val="1440"/>
        </w:trPr>
        <w:tc>
          <w:tcPr>
            <w:tcW w:w="1818" w:type="pct"/>
            <w:vAlign w:val="center"/>
          </w:tcPr>
          <w:p w:rsidR="00B15DF8" w:rsidRPr="004E09CD" w:rsidRDefault="00B15DF8" w:rsidP="00244F77">
            <w:pPr>
              <w:pStyle w:val="A-ChartHeads"/>
            </w:pPr>
            <w:r w:rsidRPr="004E09CD">
              <w:t>Object or Action</w:t>
            </w:r>
          </w:p>
        </w:tc>
        <w:tc>
          <w:tcPr>
            <w:tcW w:w="1360" w:type="pct"/>
            <w:vAlign w:val="center"/>
          </w:tcPr>
          <w:p w:rsidR="00B15DF8" w:rsidRPr="004E09CD" w:rsidRDefault="00B15DF8" w:rsidP="00244F77">
            <w:pPr>
              <w:pStyle w:val="A-ChartHeads"/>
            </w:pPr>
            <w:r w:rsidRPr="004E09CD">
              <w:t>Symbol or Ritual? Explain.</w:t>
            </w:r>
          </w:p>
        </w:tc>
        <w:tc>
          <w:tcPr>
            <w:tcW w:w="1822" w:type="pct"/>
            <w:vAlign w:val="center"/>
          </w:tcPr>
          <w:p w:rsidR="00B15DF8" w:rsidRPr="004E09CD" w:rsidRDefault="00B15DF8" w:rsidP="00244F77">
            <w:pPr>
              <w:pStyle w:val="A-ChartHeads"/>
            </w:pPr>
            <w:r w:rsidRPr="004E09CD">
              <w:t>Abstract Meaning</w:t>
            </w:r>
          </w:p>
        </w:tc>
      </w:tr>
      <w:tr w:rsidR="00B15DF8" w:rsidRPr="004E09CD">
        <w:trPr>
          <w:cantSplit/>
          <w:trHeight w:hRule="exact" w:val="1440"/>
        </w:trPr>
        <w:tc>
          <w:tcPr>
            <w:tcW w:w="1818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>an egg</w:t>
            </w:r>
          </w:p>
        </w:tc>
        <w:tc>
          <w:tcPr>
            <w:tcW w:w="1360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>symbol:</w:t>
            </w:r>
          </w:p>
          <w:p w:rsidR="00B15DF8" w:rsidRPr="004E09CD" w:rsidRDefault="00B15DF8" w:rsidP="00244F77">
            <w:pPr>
              <w:pStyle w:val="A-ChartText"/>
            </w:pPr>
            <w:r w:rsidRPr="004E09CD">
              <w:t>an object that evokes meanings beyond itself</w:t>
            </w:r>
          </w:p>
        </w:tc>
        <w:tc>
          <w:tcPr>
            <w:tcW w:w="1822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>new life; hope; initial form of something bigger; Easter</w:t>
            </w:r>
          </w:p>
        </w:tc>
      </w:tr>
      <w:tr w:rsidR="00B15DF8" w:rsidRPr="004E09CD">
        <w:trPr>
          <w:cantSplit/>
          <w:trHeight w:hRule="exact" w:val="1440"/>
        </w:trPr>
        <w:tc>
          <w:tcPr>
            <w:tcW w:w="1818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>blowing out birthday candles</w:t>
            </w:r>
          </w:p>
        </w:tc>
        <w:tc>
          <w:tcPr>
            <w:tcW w:w="1360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>ritual:</w:t>
            </w:r>
          </w:p>
          <w:p w:rsidR="00B15DF8" w:rsidRPr="004E09CD" w:rsidRDefault="00B15DF8" w:rsidP="00244F77">
            <w:pPr>
              <w:pStyle w:val="A-ChartText"/>
            </w:pPr>
            <w:r w:rsidRPr="004E09CD">
              <w:t>a meaningful repeated action</w:t>
            </w:r>
          </w:p>
        </w:tc>
        <w:tc>
          <w:tcPr>
            <w:tcW w:w="1822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 xml:space="preserve">the end of one year and the beginning of a new adventure; making a wish </w:t>
            </w:r>
          </w:p>
        </w:tc>
      </w:tr>
      <w:tr w:rsidR="00B15DF8" w:rsidRPr="004E09CD">
        <w:trPr>
          <w:cantSplit/>
          <w:trHeight w:hRule="exact" w:val="1440"/>
        </w:trPr>
        <w:tc>
          <w:tcPr>
            <w:tcW w:w="1818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>the color green</w:t>
            </w: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  <w:vAlign w:val="center"/>
          </w:tcPr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  <w:vAlign w:val="center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cantSplit/>
          <w:trHeight w:hRule="exact" w:val="1440"/>
        </w:trPr>
        <w:tc>
          <w:tcPr>
            <w:tcW w:w="1818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>a wedding ring</w:t>
            </w: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  <w:vAlign w:val="center"/>
          </w:tcPr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  <w:vAlign w:val="center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cantSplit/>
          <w:trHeight w:hRule="exact" w:val="1440"/>
        </w:trPr>
        <w:tc>
          <w:tcPr>
            <w:tcW w:w="1818" w:type="pct"/>
            <w:vAlign w:val="center"/>
          </w:tcPr>
          <w:p w:rsidR="00B15DF8" w:rsidRPr="004E09CD" w:rsidRDefault="00B15DF8" w:rsidP="00244F77">
            <w:pPr>
              <w:pStyle w:val="A-ChartText"/>
            </w:pPr>
            <w:r w:rsidRPr="004E09CD">
              <w:t xml:space="preserve">a yearly pilgrimage to the shrine of Saint James of </w:t>
            </w:r>
            <w:proofErr w:type="spellStart"/>
            <w:r w:rsidRPr="004E09CD">
              <w:t>Compostela</w:t>
            </w:r>
            <w:proofErr w:type="spellEnd"/>
            <w:r w:rsidRPr="004E09CD">
              <w:t xml:space="preserve"> in Spain</w:t>
            </w: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  <w:vAlign w:val="center"/>
          </w:tcPr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  <w:vAlign w:val="center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trHeight w:hRule="exact" w:val="1440"/>
        </w:trPr>
        <w:tc>
          <w:tcPr>
            <w:tcW w:w="1818" w:type="pct"/>
          </w:tcPr>
          <w:p w:rsidR="003C472F" w:rsidRPr="004E09CD" w:rsidRDefault="003C472F" w:rsidP="00244F77">
            <w:pPr>
              <w:pStyle w:val="A-ChartText"/>
            </w:pPr>
          </w:p>
          <w:p w:rsidR="003C472F" w:rsidRPr="004E09CD" w:rsidRDefault="003C472F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  <w:r w:rsidRPr="004E09CD">
              <w:t>a river</w:t>
            </w: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</w:tcPr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trHeight w:hRule="exact" w:val="1440"/>
        </w:trPr>
        <w:tc>
          <w:tcPr>
            <w:tcW w:w="1818" w:type="pct"/>
          </w:tcPr>
          <w:p w:rsidR="003C472F" w:rsidRPr="004E09CD" w:rsidRDefault="003C472F" w:rsidP="00244F77">
            <w:pPr>
              <w:pStyle w:val="A-ChartText"/>
            </w:pPr>
          </w:p>
          <w:p w:rsidR="003C472F" w:rsidRPr="004E09CD" w:rsidRDefault="003C472F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  <w:r w:rsidRPr="004E09CD">
              <w:t>a lion</w:t>
            </w: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</w:tcPr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trHeight w:hRule="exact" w:val="1440"/>
        </w:trPr>
        <w:tc>
          <w:tcPr>
            <w:tcW w:w="1818" w:type="pct"/>
          </w:tcPr>
          <w:p w:rsidR="003C472F" w:rsidRPr="004E09CD" w:rsidRDefault="003C472F" w:rsidP="00244F77">
            <w:pPr>
              <w:pStyle w:val="A-ChartText"/>
            </w:pPr>
          </w:p>
          <w:p w:rsidR="003C472F" w:rsidRPr="004E09CD" w:rsidRDefault="003C472F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  <w:r w:rsidRPr="004E09CD">
              <w:t>laying hands on a person</w:t>
            </w: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</w:tcPr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trHeight w:hRule="exact" w:val="1440"/>
        </w:trPr>
        <w:tc>
          <w:tcPr>
            <w:tcW w:w="1818" w:type="pct"/>
          </w:tcPr>
          <w:p w:rsidR="003C472F" w:rsidRPr="004E09CD" w:rsidRDefault="003C472F" w:rsidP="00244F77">
            <w:pPr>
              <w:pStyle w:val="A-ChartText"/>
            </w:pPr>
          </w:p>
          <w:p w:rsidR="003C472F" w:rsidRPr="004E09CD" w:rsidRDefault="003C472F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  <w:r w:rsidRPr="004E09CD">
              <w:t>wind</w:t>
            </w: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</w:tcPr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trHeight w:hRule="exact" w:val="1440"/>
        </w:trPr>
        <w:tc>
          <w:tcPr>
            <w:tcW w:w="1818" w:type="pct"/>
          </w:tcPr>
          <w:p w:rsidR="003C472F" w:rsidRPr="004E09CD" w:rsidRDefault="003C472F" w:rsidP="00244F77">
            <w:pPr>
              <w:pStyle w:val="A-ChartText"/>
            </w:pPr>
          </w:p>
          <w:p w:rsidR="003C472F" w:rsidRPr="004E09CD" w:rsidRDefault="003C472F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  <w:bookmarkStart w:id="0" w:name="_GoBack"/>
            <w:bookmarkEnd w:id="0"/>
            <w:r w:rsidRPr="004E09CD">
              <w:t>walking</w:t>
            </w: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</w:tcPr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trHeight w:hRule="exact" w:val="1440"/>
        </w:trPr>
        <w:tc>
          <w:tcPr>
            <w:tcW w:w="1818" w:type="pct"/>
          </w:tcPr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</w:tcPr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</w:tcPr>
          <w:p w:rsidR="00B15DF8" w:rsidRPr="004E09CD" w:rsidRDefault="00B15DF8" w:rsidP="00244F77">
            <w:pPr>
              <w:pStyle w:val="A-ChartText"/>
            </w:pPr>
          </w:p>
        </w:tc>
      </w:tr>
      <w:tr w:rsidR="00B15DF8" w:rsidRPr="004E09CD">
        <w:trPr>
          <w:trHeight w:hRule="exact" w:val="1440"/>
        </w:trPr>
        <w:tc>
          <w:tcPr>
            <w:tcW w:w="1818" w:type="pct"/>
          </w:tcPr>
          <w:p w:rsidR="00B15DF8" w:rsidRPr="004E09CD" w:rsidRDefault="00B15DF8" w:rsidP="00244F77">
            <w:pPr>
              <w:pStyle w:val="A-ChartText"/>
            </w:pPr>
          </w:p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360" w:type="pct"/>
          </w:tcPr>
          <w:p w:rsidR="00B15DF8" w:rsidRPr="004E09CD" w:rsidRDefault="00B15DF8" w:rsidP="00244F77">
            <w:pPr>
              <w:pStyle w:val="A-ChartText"/>
            </w:pPr>
          </w:p>
        </w:tc>
        <w:tc>
          <w:tcPr>
            <w:tcW w:w="1822" w:type="pct"/>
          </w:tcPr>
          <w:p w:rsidR="00B15DF8" w:rsidRPr="004E09CD" w:rsidRDefault="00B15DF8" w:rsidP="00244F77">
            <w:pPr>
              <w:pStyle w:val="A-ChartText"/>
            </w:pPr>
          </w:p>
        </w:tc>
      </w:tr>
    </w:tbl>
    <w:p w:rsidR="00B15DF8" w:rsidRPr="008A1DC1" w:rsidRDefault="00B15DF8" w:rsidP="00244F77">
      <w:pPr>
        <w:pStyle w:val="A-ChartText"/>
      </w:pPr>
    </w:p>
    <w:p w:rsidR="00B15DF8" w:rsidRPr="006515F4" w:rsidRDefault="00B15DF8" w:rsidP="006515F4"/>
    <w:sectPr w:rsidR="00B15DF8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CD" w:rsidRDefault="004E09CD" w:rsidP="004D0079">
      <w:r>
        <w:separator/>
      </w:r>
    </w:p>
    <w:p w:rsidR="004E09CD" w:rsidRDefault="004E09CD"/>
  </w:endnote>
  <w:endnote w:type="continuationSeparator" w:id="0">
    <w:p w:rsidR="004E09CD" w:rsidRDefault="004E09CD" w:rsidP="004D0079">
      <w:r>
        <w:continuationSeparator/>
      </w:r>
    </w:p>
    <w:p w:rsidR="004E09CD" w:rsidRDefault="004E0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8" w:rsidRPr="00F82D2A" w:rsidRDefault="004E09C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B15DF8" w:rsidRPr="00994427" w:rsidRDefault="00B15DF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9944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944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15DF8" w:rsidRPr="000318AE" w:rsidRDefault="00B15DF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9442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944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944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3694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TX002073</w:t>
                </w:r>
              </w:p>
              <w:p w:rsidR="00B15DF8" w:rsidRPr="000318AE" w:rsidRDefault="00B15DF8" w:rsidP="000318AE"/>
            </w:txbxContent>
          </v:textbox>
        </v:shape>
      </w:pict>
    </w:r>
    <w:r w:rsidR="003C47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8" w:rsidRDefault="004E09C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B15DF8" w:rsidRPr="00994427" w:rsidRDefault="00B15DF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9944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944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B15DF8" w:rsidRPr="000318AE" w:rsidRDefault="00B15DF8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9442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9442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944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43694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TX002073</w:t>
                </w:r>
              </w:p>
              <w:p w:rsidR="00B15DF8" w:rsidRPr="000E1ADA" w:rsidRDefault="00B15DF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C47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CD" w:rsidRDefault="004E09CD" w:rsidP="004D0079">
      <w:r>
        <w:separator/>
      </w:r>
    </w:p>
    <w:p w:rsidR="004E09CD" w:rsidRDefault="004E09CD"/>
  </w:footnote>
  <w:footnote w:type="continuationSeparator" w:id="0">
    <w:p w:rsidR="004E09CD" w:rsidRDefault="004E09CD" w:rsidP="004D0079">
      <w:r>
        <w:continuationSeparator/>
      </w:r>
    </w:p>
    <w:p w:rsidR="004E09CD" w:rsidRDefault="004E09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8" w:rsidRDefault="00B15DF8" w:rsidP="00DC08C5">
    <w:pPr>
      <w:pStyle w:val="A-Header-articletitlepage2"/>
      <w:rPr>
        <w:rFonts w:cs="Times New Roman"/>
      </w:rPr>
    </w:pPr>
    <w:r w:rsidRPr="00436946">
      <w:t>Identifying Symbols and Rituals</w:t>
    </w:r>
    <w:r>
      <w:rPr>
        <w:rFonts w:cs="Times New Roman"/>
      </w:rPr>
      <w:tab/>
    </w:r>
    <w:r w:rsidRPr="00F82D2A">
      <w:t xml:space="preserve">Page | </w:t>
    </w:r>
    <w:r w:rsidR="006879B2">
      <w:fldChar w:fldCharType="begin"/>
    </w:r>
    <w:r w:rsidR="006879B2">
      <w:instrText xml:space="preserve"> PAGE   \* MERGEFORMAT </w:instrText>
    </w:r>
    <w:r w:rsidR="006879B2">
      <w:fldChar w:fldCharType="separate"/>
    </w:r>
    <w:r w:rsidR="00935AD9">
      <w:rPr>
        <w:noProof/>
      </w:rPr>
      <w:t>2</w:t>
    </w:r>
    <w:r w:rsidR="006879B2">
      <w:rPr>
        <w:noProof/>
      </w:rPr>
      <w:fldChar w:fldCharType="end"/>
    </w:r>
  </w:p>
  <w:p w:rsidR="00B15DF8" w:rsidRDefault="00B15DF8"/>
  <w:p w:rsidR="00B15DF8" w:rsidRDefault="00B15D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8" w:rsidRPr="003E24F6" w:rsidRDefault="00B15DF8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94DA4"/>
    <w:rsid w:val="000A391A"/>
    <w:rsid w:val="000B0986"/>
    <w:rsid w:val="000B4E68"/>
    <w:rsid w:val="000C5F25"/>
    <w:rsid w:val="000D5ED9"/>
    <w:rsid w:val="000E1ADA"/>
    <w:rsid w:val="000E564B"/>
    <w:rsid w:val="000F6034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6609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4F77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2879"/>
    <w:rsid w:val="003739CB"/>
    <w:rsid w:val="0038139E"/>
    <w:rsid w:val="003B0E7A"/>
    <w:rsid w:val="003C472F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6946"/>
    <w:rsid w:val="00454A1D"/>
    <w:rsid w:val="00460918"/>
    <w:rsid w:val="00467234"/>
    <w:rsid w:val="00475571"/>
    <w:rsid w:val="004A3116"/>
    <w:rsid w:val="004A7DE2"/>
    <w:rsid w:val="004C5561"/>
    <w:rsid w:val="004D0079"/>
    <w:rsid w:val="004D74F6"/>
    <w:rsid w:val="004D7A2E"/>
    <w:rsid w:val="004E09CD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879B2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33A8"/>
    <w:rsid w:val="008541FB"/>
    <w:rsid w:val="0085547F"/>
    <w:rsid w:val="00861A93"/>
    <w:rsid w:val="00883D20"/>
    <w:rsid w:val="00885542"/>
    <w:rsid w:val="008A1DC1"/>
    <w:rsid w:val="008A5FEE"/>
    <w:rsid w:val="008B14A0"/>
    <w:rsid w:val="008C2FC3"/>
    <w:rsid w:val="008D10BC"/>
    <w:rsid w:val="008F12F7"/>
    <w:rsid w:val="008F22A0"/>
    <w:rsid w:val="008F58B2"/>
    <w:rsid w:val="00905B4D"/>
    <w:rsid w:val="009064EC"/>
    <w:rsid w:val="00933E81"/>
    <w:rsid w:val="00935AD9"/>
    <w:rsid w:val="00945A73"/>
    <w:rsid w:val="009563C5"/>
    <w:rsid w:val="00972002"/>
    <w:rsid w:val="00994427"/>
    <w:rsid w:val="00997818"/>
    <w:rsid w:val="009D2073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5DF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002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7A3"/>
    <w:rsid w:val="00D02316"/>
    <w:rsid w:val="00D04A29"/>
    <w:rsid w:val="00D105EA"/>
    <w:rsid w:val="00D14D22"/>
    <w:rsid w:val="00D33298"/>
    <w:rsid w:val="00D45298"/>
    <w:rsid w:val="00D57D5E"/>
    <w:rsid w:val="00D62F54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6879B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6879B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6879B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6879B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6879B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79B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6879B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6879B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6879B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6879B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6879B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6879B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6879B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6879B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6879B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879B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6879B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879B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6879B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6879B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879B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6879B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879B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6879B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879B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6879B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879B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6879B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6879B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6879B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6879B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6879B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879B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6879B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6879B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6879B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6879B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879B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879B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879B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6879B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879B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6879B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6879B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879B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6879B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6879B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6879B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6879B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6879B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6879B2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6879B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6879B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6879B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6879B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6879B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6879B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6879B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6879B2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D62F54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2011-06-07T16:58:00Z</dcterms:created>
  <dcterms:modified xsi:type="dcterms:W3CDTF">2011-11-16T06:36:00Z</dcterms:modified>
</cp:coreProperties>
</file>