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C0" w:rsidRPr="00122F28" w:rsidRDefault="009377C0" w:rsidP="007D0627">
      <w:pPr>
        <w:pStyle w:val="A-BH"/>
        <w:spacing w:before="0"/>
        <w:rPr>
          <w:sz w:val="44"/>
          <w:szCs w:val="44"/>
        </w:rPr>
      </w:pPr>
      <w:bookmarkStart w:id="0" w:name="_GoBack"/>
      <w:r w:rsidRPr="00122F28">
        <w:rPr>
          <w:sz w:val="44"/>
          <w:szCs w:val="44"/>
        </w:rPr>
        <w:t xml:space="preserve">Rubric for Final Performance Tasks </w:t>
      </w:r>
      <w:r w:rsidR="00EC2CD0" w:rsidRPr="00122F28">
        <w:rPr>
          <w:sz w:val="44"/>
          <w:szCs w:val="44"/>
        </w:rPr>
        <w:br/>
      </w:r>
      <w:r w:rsidRPr="00122F28">
        <w:rPr>
          <w:sz w:val="44"/>
          <w:szCs w:val="44"/>
        </w:rPr>
        <w:t>for Unit 4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2070"/>
        <w:gridCol w:w="1800"/>
        <w:gridCol w:w="1800"/>
        <w:gridCol w:w="1710"/>
      </w:tblGrid>
      <w:tr w:rsidR="009377C0" w:rsidRPr="00D52762" w:rsidTr="009543A4">
        <w:tc>
          <w:tcPr>
            <w:tcW w:w="2734" w:type="dxa"/>
          </w:tcPr>
          <w:bookmarkEnd w:id="0"/>
          <w:p w:rsidR="009377C0" w:rsidRPr="00D52762" w:rsidRDefault="009377C0" w:rsidP="0075292E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2070" w:type="dxa"/>
          </w:tcPr>
          <w:p w:rsidR="009377C0" w:rsidRPr="00D52762" w:rsidRDefault="009377C0" w:rsidP="0075292E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00" w:type="dxa"/>
          </w:tcPr>
          <w:p w:rsidR="009377C0" w:rsidRPr="00D52762" w:rsidRDefault="009377C0" w:rsidP="0075292E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</w:tcPr>
          <w:p w:rsidR="009377C0" w:rsidRPr="00D52762" w:rsidRDefault="009377C0" w:rsidP="0075292E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710" w:type="dxa"/>
          </w:tcPr>
          <w:p w:rsidR="009377C0" w:rsidRPr="00D52762" w:rsidRDefault="009377C0" w:rsidP="0075292E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9377C0" w:rsidRPr="00D52762" w:rsidTr="009543A4">
        <w:tc>
          <w:tcPr>
            <w:tcW w:w="2734" w:type="dxa"/>
          </w:tcPr>
          <w:p w:rsidR="009377C0" w:rsidRPr="00A75417" w:rsidRDefault="009377C0" w:rsidP="00EC2CD0">
            <w:pPr>
              <w:pStyle w:val="A-ChartText"/>
              <w:spacing w:before="40"/>
              <w:rPr>
                <w:b/>
              </w:rPr>
            </w:pPr>
            <w:r w:rsidRPr="00A75417">
              <w:rPr>
                <w:b/>
              </w:rPr>
              <w:t>Assignment includes all items requested in the</w:t>
            </w:r>
            <w:r w:rsidR="00EC2CD0">
              <w:rPr>
                <w:b/>
              </w:rPr>
              <w:t xml:space="preserve"> directions.</w:t>
            </w:r>
          </w:p>
        </w:tc>
        <w:tc>
          <w:tcPr>
            <w:tcW w:w="207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includes all items requested</w:t>
            </w:r>
            <w:r>
              <w:t>, and</w:t>
            </w:r>
            <w:r w:rsidRPr="00D52762">
              <w:t xml:space="preserve"> they are completed above expectations.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71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9377C0" w:rsidRPr="00D52762" w:rsidTr="009543A4">
        <w:tc>
          <w:tcPr>
            <w:tcW w:w="2734" w:type="dxa"/>
          </w:tcPr>
          <w:p w:rsidR="009377C0" w:rsidRPr="00A75417" w:rsidRDefault="009377C0" w:rsidP="00116456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A75417">
              <w:rPr>
                <w:b/>
              </w:rPr>
              <w:t>Assignment shows understanding of the concept</w:t>
            </w:r>
            <w:r w:rsidR="00AE0421">
              <w:rPr>
                <w:b/>
              </w:rPr>
              <w:t>:</w:t>
            </w:r>
            <w:r w:rsidRPr="00A75417">
              <w:rPr>
                <w:b/>
              </w:rPr>
              <w:t xml:space="preserve"> </w:t>
            </w:r>
            <w:r w:rsidRPr="00A75417">
              <w:rPr>
                <w:b/>
                <w:i/>
                <w:iCs/>
              </w:rPr>
              <w:t>God leads Israel through the conquest of Canaan, fulfilling his covenant promise to Abraham of the Promised Land for his Chosen People.</w:t>
            </w:r>
          </w:p>
        </w:tc>
        <w:tc>
          <w:tcPr>
            <w:tcW w:w="207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9377C0" w:rsidRPr="00D52762" w:rsidTr="009543A4">
        <w:tc>
          <w:tcPr>
            <w:tcW w:w="2734" w:type="dxa"/>
          </w:tcPr>
          <w:p w:rsidR="009377C0" w:rsidRPr="00A75417" w:rsidRDefault="009377C0" w:rsidP="00116456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A75417">
              <w:rPr>
                <w:b/>
              </w:rPr>
              <w:t>Assignment shows understanding of the concept</w:t>
            </w:r>
            <w:r w:rsidR="00AE0421">
              <w:rPr>
                <w:b/>
              </w:rPr>
              <w:t>:</w:t>
            </w:r>
            <w:r w:rsidRPr="00A75417">
              <w:rPr>
                <w:b/>
              </w:rPr>
              <w:t xml:space="preserve"> </w:t>
            </w:r>
            <w:r w:rsidRPr="00A75417">
              <w:rPr>
                <w:b/>
                <w:i/>
                <w:iCs/>
              </w:rPr>
              <w:t>Joshua was chosen as the leader of Israel at the point of Moses’ death and exemplified faithful commitment to the Lord of the patriarchs.</w:t>
            </w:r>
          </w:p>
        </w:tc>
        <w:tc>
          <w:tcPr>
            <w:tcW w:w="207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9377C0" w:rsidRPr="00D52762" w:rsidTr="009543A4">
        <w:tc>
          <w:tcPr>
            <w:tcW w:w="2734" w:type="dxa"/>
          </w:tcPr>
          <w:p w:rsidR="009377C0" w:rsidRPr="00A75417" w:rsidRDefault="009377C0" w:rsidP="00116456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A75417">
              <w:rPr>
                <w:b/>
              </w:rPr>
              <w:t>Assignment shows understanding of the concept</w:t>
            </w:r>
            <w:r w:rsidR="00AE0421">
              <w:rPr>
                <w:b/>
              </w:rPr>
              <w:t>:</w:t>
            </w:r>
            <w:r w:rsidRPr="00A75417">
              <w:rPr>
                <w:b/>
              </w:rPr>
              <w:t xml:space="preserve"> </w:t>
            </w:r>
            <w:r w:rsidRPr="00A75417">
              <w:rPr>
                <w:b/>
                <w:i/>
                <w:iCs/>
              </w:rPr>
              <w:t>during the period of the judges, Israel continued to display instances of comm</w:t>
            </w:r>
            <w:r w:rsidR="00EC2CD0">
              <w:rPr>
                <w:b/>
                <w:i/>
                <w:iCs/>
              </w:rPr>
              <w:t>itment and disobedience to the C</w:t>
            </w:r>
            <w:r w:rsidRPr="00A75417">
              <w:rPr>
                <w:b/>
                <w:i/>
                <w:iCs/>
              </w:rPr>
              <w:t>ovenant.</w:t>
            </w:r>
          </w:p>
        </w:tc>
        <w:tc>
          <w:tcPr>
            <w:tcW w:w="207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9377C0" w:rsidRPr="00D52762" w:rsidTr="009543A4">
        <w:tc>
          <w:tcPr>
            <w:tcW w:w="2734" w:type="dxa"/>
          </w:tcPr>
          <w:p w:rsidR="009377C0" w:rsidRPr="00A75417" w:rsidRDefault="009377C0" w:rsidP="00116456">
            <w:pPr>
              <w:pStyle w:val="A-ChartText"/>
              <w:spacing w:before="40"/>
              <w:rPr>
                <w:rFonts w:cs="Times New Roman"/>
                <w:b/>
              </w:rPr>
            </w:pPr>
            <w:r w:rsidRPr="00A75417">
              <w:rPr>
                <w:b/>
              </w:rPr>
              <w:t>Assignment shows understanding of the concept</w:t>
            </w:r>
            <w:r w:rsidR="00AE0421">
              <w:rPr>
                <w:b/>
              </w:rPr>
              <w:t>:</w:t>
            </w:r>
            <w:r w:rsidRPr="00A75417">
              <w:rPr>
                <w:b/>
              </w:rPr>
              <w:t xml:space="preserve"> </w:t>
            </w:r>
            <w:r w:rsidRPr="00A75417">
              <w:rPr>
                <w:b/>
                <w:i/>
                <w:iCs/>
              </w:rPr>
              <w:t>the indigenous people of Canaan practiced polytheism, belief in many gods, and idolatry (worship of idols), practices that the Commandments forbid, providing a stumbling block for some Israelites to overcome once in the Promised Land.</w:t>
            </w:r>
          </w:p>
        </w:tc>
        <w:tc>
          <w:tcPr>
            <w:tcW w:w="207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71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9377C0" w:rsidRPr="00D52762" w:rsidTr="009543A4">
        <w:tc>
          <w:tcPr>
            <w:tcW w:w="2734" w:type="dxa"/>
          </w:tcPr>
          <w:p w:rsidR="009377C0" w:rsidRPr="00A75417" w:rsidRDefault="009377C0" w:rsidP="00116456">
            <w:pPr>
              <w:pStyle w:val="A-ChartText"/>
              <w:spacing w:before="40"/>
              <w:rPr>
                <w:b/>
              </w:rPr>
            </w:pPr>
            <w:r w:rsidRPr="00A75417">
              <w:rPr>
                <w:b/>
              </w:rPr>
              <w:t>Assignment uses proper grammar and spelling.</w:t>
            </w:r>
          </w:p>
        </w:tc>
        <w:tc>
          <w:tcPr>
            <w:tcW w:w="207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71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9377C0" w:rsidRPr="00D52762" w:rsidTr="009543A4">
        <w:tc>
          <w:tcPr>
            <w:tcW w:w="2734" w:type="dxa"/>
          </w:tcPr>
          <w:p w:rsidR="009377C0" w:rsidRPr="00A75417" w:rsidRDefault="009377C0" w:rsidP="00116456">
            <w:pPr>
              <w:pStyle w:val="A-ChartText"/>
              <w:spacing w:before="40"/>
              <w:rPr>
                <w:b/>
              </w:rPr>
            </w:pPr>
            <w:r w:rsidRPr="00A75417">
              <w:rPr>
                <w:b/>
              </w:rPr>
              <w:t>Assignment is neatly done.</w:t>
            </w:r>
          </w:p>
        </w:tc>
        <w:tc>
          <w:tcPr>
            <w:tcW w:w="2070" w:type="dxa"/>
          </w:tcPr>
          <w:p w:rsidR="009377C0" w:rsidRPr="00D52762" w:rsidRDefault="00AE0421" w:rsidP="00116456">
            <w:pPr>
              <w:pStyle w:val="A-ChartText"/>
              <w:spacing w:before="40"/>
            </w:pPr>
            <w:r>
              <w:t xml:space="preserve">Assignment </w:t>
            </w:r>
            <w:r w:rsidR="009377C0" w:rsidRPr="00D52762">
              <w:t xml:space="preserve">not only </w:t>
            </w:r>
            <w:r w:rsidR="00EC2CD0">
              <w:t xml:space="preserve">is </w:t>
            </w:r>
            <w:r w:rsidR="009377C0" w:rsidRPr="00D52762">
              <w:t>neat but is exceptionally creative.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0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710" w:type="dxa"/>
          </w:tcPr>
          <w:p w:rsidR="009377C0" w:rsidRPr="00D52762" w:rsidRDefault="009377C0" w:rsidP="00116456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9377C0" w:rsidRPr="00040DC7" w:rsidRDefault="009377C0" w:rsidP="00040DC7"/>
    <w:sectPr w:rsidR="009377C0" w:rsidRPr="00040DC7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B1" w:rsidRDefault="005A30B1" w:rsidP="004D0079">
      <w:r>
        <w:separator/>
      </w:r>
    </w:p>
    <w:p w:rsidR="005A30B1" w:rsidRDefault="005A30B1"/>
  </w:endnote>
  <w:endnote w:type="continuationSeparator" w:id="0">
    <w:p w:rsidR="005A30B1" w:rsidRDefault="005A30B1" w:rsidP="004D0079">
      <w:r>
        <w:continuationSeparator/>
      </w:r>
    </w:p>
    <w:p w:rsidR="005A30B1" w:rsidRDefault="005A3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C0" w:rsidRPr="00F82D2A" w:rsidRDefault="00122F2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9377C0" w:rsidRPr="006E6228" w:rsidRDefault="009377C0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9377C0" w:rsidRPr="000E1ADA" w:rsidRDefault="009377C0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6E62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6E62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E62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35D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TX001661</w:t>
                </w:r>
              </w:p>
              <w:p w:rsidR="009377C0" w:rsidRPr="000318AE" w:rsidRDefault="009377C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C0" w:rsidRDefault="00122F2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9F4D15" w:rsidRDefault="009377C0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E62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11645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377C0" w:rsidRPr="000E1ADA" w:rsidRDefault="009377C0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6E62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E62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35D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TX001661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B1" w:rsidRDefault="005A30B1" w:rsidP="004D0079">
      <w:r>
        <w:separator/>
      </w:r>
    </w:p>
    <w:p w:rsidR="005A30B1" w:rsidRDefault="005A30B1"/>
  </w:footnote>
  <w:footnote w:type="continuationSeparator" w:id="0">
    <w:p w:rsidR="005A30B1" w:rsidRDefault="005A30B1" w:rsidP="004D0079">
      <w:r>
        <w:continuationSeparator/>
      </w:r>
    </w:p>
    <w:p w:rsidR="005A30B1" w:rsidRDefault="005A30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C0" w:rsidRDefault="009377C0" w:rsidP="00DC08C5">
    <w:pPr>
      <w:pStyle w:val="A-Header-articletitlepage2"/>
      <w:rPr>
        <w:rFonts w:cs="Times New Roman"/>
      </w:rPr>
    </w:pPr>
    <w:r w:rsidRPr="00D52762">
      <w:t xml:space="preserve">Rubric for Final Performance Tasks in Unit </w:t>
    </w:r>
    <w:r>
      <w:t>4</w:t>
    </w:r>
    <w:r>
      <w:tab/>
    </w:r>
    <w:r w:rsidRPr="00F82D2A">
      <w:t xml:space="preserve">Page | </w:t>
    </w:r>
    <w:r w:rsidR="00C656F0">
      <w:fldChar w:fldCharType="begin"/>
    </w:r>
    <w:r w:rsidR="009F4D15">
      <w:instrText xml:space="preserve"> PAGE   \* MERGEFORMAT </w:instrText>
    </w:r>
    <w:r w:rsidR="00C656F0">
      <w:fldChar w:fldCharType="separate"/>
    </w:r>
    <w:r w:rsidR="00116456">
      <w:rPr>
        <w:noProof/>
      </w:rPr>
      <w:t>2</w:t>
    </w:r>
    <w:r w:rsidR="00C656F0">
      <w:rPr>
        <w:noProof/>
      </w:rPr>
      <w:fldChar w:fldCharType="end"/>
    </w:r>
  </w:p>
  <w:p w:rsidR="009377C0" w:rsidRDefault="009377C0"/>
  <w:p w:rsidR="009377C0" w:rsidRDefault="009377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56" w:rsidRDefault="00AE0421" w:rsidP="00116456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16456">
      <w:rPr>
        <w:rFonts w:ascii="Arial" w:hAnsi="Arial" w:cs="Arial"/>
        <w:color w:val="000000"/>
        <w:vertAlign w:val="superscript"/>
      </w:rPr>
      <w:t>®</w:t>
    </w:r>
    <w:r w:rsidR="00116456">
      <w:rPr>
        <w:rFonts w:ascii="Arial" w:hAnsi="Arial" w:cs="Arial"/>
        <w:color w:val="000000"/>
      </w:rPr>
      <w:t xml:space="preserve"> Teacher Guide</w:t>
    </w:r>
  </w:p>
  <w:p w:rsidR="00116456" w:rsidRDefault="00116456" w:rsidP="00116456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9377C0" w:rsidRPr="00116456" w:rsidRDefault="009377C0" w:rsidP="00116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427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72D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22A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4C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E81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63E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41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6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E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9C6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35AF"/>
    <w:rsid w:val="00040DC7"/>
    <w:rsid w:val="00056DA9"/>
    <w:rsid w:val="00084EB9"/>
    <w:rsid w:val="00093CB0"/>
    <w:rsid w:val="000A391A"/>
    <w:rsid w:val="000A4BCD"/>
    <w:rsid w:val="000B1E0B"/>
    <w:rsid w:val="000B4E68"/>
    <w:rsid w:val="000C5F25"/>
    <w:rsid w:val="000D5ED9"/>
    <w:rsid w:val="000E1ADA"/>
    <w:rsid w:val="000E564B"/>
    <w:rsid w:val="000E7FA4"/>
    <w:rsid w:val="000F6CCE"/>
    <w:rsid w:val="00103E1C"/>
    <w:rsid w:val="00116456"/>
    <w:rsid w:val="00122197"/>
    <w:rsid w:val="00122F28"/>
    <w:rsid w:val="001309E6"/>
    <w:rsid w:val="00130AE1"/>
    <w:rsid w:val="001334C6"/>
    <w:rsid w:val="00152401"/>
    <w:rsid w:val="001747F9"/>
    <w:rsid w:val="00175D31"/>
    <w:rsid w:val="001764BC"/>
    <w:rsid w:val="00194C61"/>
    <w:rsid w:val="0019539C"/>
    <w:rsid w:val="001A0CE0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2555"/>
    <w:rsid w:val="00225B1E"/>
    <w:rsid w:val="00231C40"/>
    <w:rsid w:val="00235DA2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4643"/>
    <w:rsid w:val="002C4F99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437D"/>
    <w:rsid w:val="00394AF1"/>
    <w:rsid w:val="003B0E7A"/>
    <w:rsid w:val="003D381C"/>
    <w:rsid w:val="003E24F6"/>
    <w:rsid w:val="003E711D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B4AC2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5CB8"/>
    <w:rsid w:val="00555EA6"/>
    <w:rsid w:val="00573EAA"/>
    <w:rsid w:val="0058460F"/>
    <w:rsid w:val="005A30B1"/>
    <w:rsid w:val="005A4359"/>
    <w:rsid w:val="005A6944"/>
    <w:rsid w:val="005C1461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622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1D5B"/>
    <w:rsid w:val="0075292E"/>
    <w:rsid w:val="007554A3"/>
    <w:rsid w:val="00781027"/>
    <w:rsid w:val="00781585"/>
    <w:rsid w:val="00784075"/>
    <w:rsid w:val="00786E12"/>
    <w:rsid w:val="007D0627"/>
    <w:rsid w:val="007D41EB"/>
    <w:rsid w:val="007D56E7"/>
    <w:rsid w:val="007E01EA"/>
    <w:rsid w:val="007E2691"/>
    <w:rsid w:val="007F14E0"/>
    <w:rsid w:val="007F1D2D"/>
    <w:rsid w:val="008056C3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377C0"/>
    <w:rsid w:val="00945A73"/>
    <w:rsid w:val="009543A4"/>
    <w:rsid w:val="009563C5"/>
    <w:rsid w:val="00972002"/>
    <w:rsid w:val="0097210A"/>
    <w:rsid w:val="00997818"/>
    <w:rsid w:val="009D36BA"/>
    <w:rsid w:val="009E00C3"/>
    <w:rsid w:val="009E15E5"/>
    <w:rsid w:val="009F2BD3"/>
    <w:rsid w:val="009F4D15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5417"/>
    <w:rsid w:val="00A767A7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0421"/>
    <w:rsid w:val="00AE39FB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2617E"/>
    <w:rsid w:val="00B47B42"/>
    <w:rsid w:val="00B51054"/>
    <w:rsid w:val="00B52F10"/>
    <w:rsid w:val="00B55908"/>
    <w:rsid w:val="00B572B7"/>
    <w:rsid w:val="00B63625"/>
    <w:rsid w:val="00B72A37"/>
    <w:rsid w:val="00B738D1"/>
    <w:rsid w:val="00B91FAA"/>
    <w:rsid w:val="00BA32E8"/>
    <w:rsid w:val="00BB29DD"/>
    <w:rsid w:val="00BB2AD3"/>
    <w:rsid w:val="00BC1E13"/>
    <w:rsid w:val="00BC4453"/>
    <w:rsid w:val="00BC71B6"/>
    <w:rsid w:val="00BD06B0"/>
    <w:rsid w:val="00BD7E91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656F0"/>
    <w:rsid w:val="00C760F8"/>
    <w:rsid w:val="00C76C12"/>
    <w:rsid w:val="00C91156"/>
    <w:rsid w:val="00C94EE8"/>
    <w:rsid w:val="00CC176C"/>
    <w:rsid w:val="00CC5843"/>
    <w:rsid w:val="00CD1FEA"/>
    <w:rsid w:val="00CD2136"/>
    <w:rsid w:val="00CF02BE"/>
    <w:rsid w:val="00D02316"/>
    <w:rsid w:val="00D04A29"/>
    <w:rsid w:val="00D105EA"/>
    <w:rsid w:val="00D14D22"/>
    <w:rsid w:val="00D33298"/>
    <w:rsid w:val="00D45298"/>
    <w:rsid w:val="00D52762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DE55BE"/>
    <w:rsid w:val="00E02EAF"/>
    <w:rsid w:val="00E069BA"/>
    <w:rsid w:val="00E12E92"/>
    <w:rsid w:val="00E16237"/>
    <w:rsid w:val="00E2045E"/>
    <w:rsid w:val="00E51E59"/>
    <w:rsid w:val="00E7545A"/>
    <w:rsid w:val="00E876CA"/>
    <w:rsid w:val="00EB00B8"/>
    <w:rsid w:val="00EB1125"/>
    <w:rsid w:val="00EC2CD0"/>
    <w:rsid w:val="00EC358B"/>
    <w:rsid w:val="00EC52EC"/>
    <w:rsid w:val="00EE07AB"/>
    <w:rsid w:val="00EE0D45"/>
    <w:rsid w:val="00EE658A"/>
    <w:rsid w:val="00EF441F"/>
    <w:rsid w:val="00F06D1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2BED"/>
    <w:rsid w:val="00F95DBB"/>
    <w:rsid w:val="00FA07C9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paragraph" w:styleId="Header">
    <w:name w:val="header"/>
    <w:basedOn w:val="Normal"/>
    <w:link w:val="HeaderChar"/>
    <w:uiPriority w:val="99"/>
    <w:qFormat/>
    <w:locked/>
    <w:rsid w:val="000B1E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F6E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E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F6E7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2160</Characters>
  <Application>Microsoft Office Word</Application>
  <DocSecurity>0</DocSecurity>
  <Lines>18</Lines>
  <Paragraphs>5</Paragraphs>
  <ScaleCrop>false</ScaleCrop>
  <Company>Saint Mary's Press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18</cp:revision>
  <cp:lastPrinted>2010-01-08T18:19:00Z</cp:lastPrinted>
  <dcterms:created xsi:type="dcterms:W3CDTF">2011-03-09T16:29:00Z</dcterms:created>
  <dcterms:modified xsi:type="dcterms:W3CDTF">2011-05-23T19:15:00Z</dcterms:modified>
</cp:coreProperties>
</file>